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E8DBC0">
      <w:pPr>
        <w:spacing w:before="200"/>
        <w:jc w:val="center"/>
        <w:rPr>
          <w:rFonts w:hint="eastAsia"/>
        </w:rPr>
      </w:pPr>
      <w:r>
        <w:rPr>
          <w:lang w:bidi="ne-NP"/>
        </w:rPr>
        <w:drawing>
          <wp:inline distT="0" distB="0" distL="0" distR="0">
            <wp:extent cx="929005" cy="839470"/>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a:stretch>
                      <a:fillRect/>
                    </a:stretch>
                  </pic:blipFill>
                  <pic:spPr>
                    <a:xfrm>
                      <a:off x="0" y="0"/>
                      <a:ext cx="938991" cy="848482"/>
                    </a:xfrm>
                    <a:prstGeom prst="rect">
                      <a:avLst/>
                    </a:prstGeom>
                  </pic:spPr>
                </pic:pic>
              </a:graphicData>
            </a:graphic>
          </wp:inline>
        </w:drawing>
      </w:r>
    </w:p>
    <w:p w14:paraId="504E0D25">
      <w:pPr>
        <w:spacing w:after="40"/>
        <w:jc w:val="center"/>
        <w:rPr>
          <w:rFonts w:hint="eastAsia"/>
          <w:color w:val="FF0000"/>
          <w:sz w:val="40"/>
          <w:szCs w:val="72"/>
        </w:rPr>
      </w:pPr>
      <w:r>
        <w:rPr>
          <w:b/>
          <w:color w:val="FF0000"/>
          <w:sz w:val="40"/>
          <w:szCs w:val="72"/>
        </w:rPr>
        <w:t>BRIDGE REACH ACTION-2</w:t>
      </w:r>
    </w:p>
    <w:p w14:paraId="1061C160">
      <w:pPr>
        <w:spacing w:after="160" w:line="240" w:lineRule="auto"/>
        <w:jc w:val="center"/>
        <w:rPr>
          <w:rFonts w:hint="eastAsia"/>
          <w:sz w:val="8"/>
          <w:szCs w:val="8"/>
        </w:rPr>
      </w:pPr>
      <w:r>
        <w:rPr>
          <w:color w:val="2E6EA0"/>
          <w:sz w:val="24"/>
          <w:szCs w:val="8"/>
        </w:rPr>
        <w:t>Civil Society Dialogue on the</w:t>
      </w:r>
      <w:r>
        <w:rPr>
          <w:color w:val="2E6EA0"/>
          <w:sz w:val="24"/>
          <w:szCs w:val="8"/>
        </w:rPr>
        <w:br w:type="textWrapping"/>
      </w:r>
      <w:r>
        <w:rPr>
          <w:color w:val="2E6EA0"/>
          <w:sz w:val="24"/>
          <w:szCs w:val="8"/>
        </w:rPr>
        <w:t>Humanitarian Assistance, Quality, Accountability</w:t>
      </w:r>
      <w:r>
        <w:rPr>
          <w:color w:val="2E6EA0"/>
          <w:sz w:val="24"/>
          <w:szCs w:val="8"/>
        </w:rPr>
        <w:br w:type="textWrapping"/>
      </w:r>
      <w:r>
        <w:rPr>
          <w:color w:val="2E6EA0"/>
          <w:sz w:val="24"/>
          <w:szCs w:val="8"/>
        </w:rPr>
        <w:t>and the Role of Civil Society Organizations in the</w:t>
      </w:r>
      <w:r>
        <w:rPr>
          <w:color w:val="2E6EA0"/>
          <w:sz w:val="24"/>
          <w:szCs w:val="8"/>
        </w:rPr>
        <w:br w:type="textWrapping"/>
      </w:r>
      <w:r>
        <w:rPr>
          <w:color w:val="2E6EA0"/>
          <w:sz w:val="24"/>
          <w:szCs w:val="8"/>
        </w:rPr>
        <w:t>Rasuwa-Bhotekoshi Flood Response</w:t>
      </w:r>
    </w:p>
    <w:p w14:paraId="3A0C904F">
      <w:pPr>
        <w:spacing w:after="200"/>
        <w:jc w:val="center"/>
        <w:rPr>
          <w:rFonts w:hint="eastAsia"/>
        </w:rPr>
      </w:pPr>
      <w:r>
        <w:rPr>
          <w:b/>
          <w:color w:val="2E6EA0"/>
          <w:sz w:val="22"/>
        </w:rPr>
        <w:t>NEED FOR COORDINATION AND COLLABORATION AMONG STAKEHOLDERS</w:t>
      </w:r>
      <w:r>
        <w:rPr>
          <w:b/>
          <w:color w:val="2E6EA0"/>
          <w:sz w:val="22"/>
        </w:rPr>
        <w:br w:type="textWrapping"/>
      </w:r>
      <w:r>
        <w:rPr>
          <w:b/>
          <w:color w:val="2E6EA0"/>
          <w:sz w:val="22"/>
        </w:rPr>
        <w:t>FOR QUALITY AND EFFECTIVE HUMANITARIAN ACTION</w:t>
      </w:r>
    </w:p>
    <w:p w14:paraId="02701BF3">
      <w:pPr>
        <w:jc w:val="center"/>
        <w:rPr>
          <w:rFonts w:hint="eastAsia"/>
        </w:rPr>
      </w:pPr>
      <w:r>
        <w:rPr>
          <w:lang w:bidi="ne-NP"/>
        </w:rPr>
        <w:drawing>
          <wp:inline distT="0" distB="0" distL="0" distR="0">
            <wp:extent cx="5349240" cy="50939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9"/>
                    <a:stretch>
                      <a:fillRect/>
                    </a:stretch>
                  </pic:blipFill>
                  <pic:spPr>
                    <a:xfrm>
                      <a:off x="0" y="0"/>
                      <a:ext cx="5349240" cy="5094515"/>
                    </a:xfrm>
                    <a:prstGeom prst="rect">
                      <a:avLst/>
                    </a:prstGeom>
                  </pic:spPr>
                </pic:pic>
              </a:graphicData>
            </a:graphic>
          </wp:inline>
        </w:drawing>
      </w:r>
    </w:p>
    <w:p w14:paraId="2E9BA13F">
      <w:pPr>
        <w:spacing w:before="140" w:after="40"/>
        <w:jc w:val="center"/>
        <w:rPr>
          <w:rFonts w:hint="eastAsia"/>
          <w:sz w:val="24"/>
          <w:szCs w:val="28"/>
        </w:rPr>
      </w:pPr>
      <w:r>
        <w:rPr>
          <w:b/>
          <w:color w:val="2E6EA0"/>
          <w:sz w:val="24"/>
          <w:szCs w:val="28"/>
        </w:rPr>
        <w:t>Kathmandu • 16 September 2026 (Bhadra 31)</w:t>
      </w:r>
    </w:p>
    <w:p w14:paraId="0F7A0777">
      <w:pPr>
        <w:spacing w:after="40"/>
        <w:jc w:val="center"/>
        <w:rPr>
          <w:rFonts w:hint="eastAsia"/>
          <w:sz w:val="24"/>
          <w:szCs w:val="28"/>
        </w:rPr>
      </w:pPr>
      <w:r>
        <w:rPr>
          <w:color w:val="585858"/>
          <w:sz w:val="22"/>
          <w:szCs w:val="28"/>
        </w:rPr>
        <w:t>Organized by the NGO Group under the National Platform for Disaster Risk Reduction (NPDRR),</w:t>
      </w:r>
      <w:r>
        <w:rPr>
          <w:color w:val="585858"/>
          <w:sz w:val="22"/>
          <w:szCs w:val="28"/>
        </w:rPr>
        <w:br w:type="textWrapping"/>
      </w:r>
      <w:r>
        <w:rPr>
          <w:color w:val="585858"/>
          <w:sz w:val="22"/>
          <w:szCs w:val="28"/>
        </w:rPr>
        <w:t>with DiMaNN and NGO Federation of Nepal</w:t>
      </w:r>
    </w:p>
    <w:p w14:paraId="51FF5C63">
      <w:pPr>
        <w:spacing w:after="0"/>
        <w:jc w:val="center"/>
        <w:rPr>
          <w:rFonts w:hint="eastAsia"/>
          <w:sz w:val="24"/>
          <w:szCs w:val="28"/>
        </w:rPr>
      </w:pPr>
      <w:r>
        <w:rPr>
          <w:color w:val="585858"/>
          <w:sz w:val="22"/>
          <w:szCs w:val="28"/>
        </w:rPr>
        <w:t>Venue: NGO Federation of Nepal Office, Buddhanagar</w:t>
      </w:r>
    </w:p>
    <w:p w14:paraId="5AA599EB">
      <w:pPr>
        <w:rPr>
          <w:rFonts w:hint="eastAsia"/>
        </w:rPr>
      </w:pPr>
      <w:r>
        <w:br w:type="page"/>
      </w:r>
    </w:p>
    <w:p w14:paraId="7470E532">
      <w:pPr>
        <w:rPr>
          <w:rFonts w:hint="eastAsia" w:ascii="Aptos Display" w:hAnsi="Aptos Display"/>
          <w:b/>
          <w:color w:val="2E6EA0"/>
          <w:sz w:val="34"/>
        </w:rPr>
      </w:pPr>
      <w:r>
        <w:rPr>
          <w:rFonts w:ascii="Aptos Display" w:hAnsi="Aptos Display"/>
          <w:b/>
          <w:color w:val="2E6EA0"/>
          <w:sz w:val="34"/>
        </w:rPr>
        <w:t>1. Executive Message</w:t>
      </w:r>
    </w:p>
    <w:p w14:paraId="05C6A6C7">
      <w:pPr>
        <w:jc w:val="both"/>
        <w:rPr>
          <w:rFonts w:hint="eastAsia"/>
        </w:rPr>
      </w:pPr>
      <w:r>
        <w:t>The 2026 Rasuwa–Bhotekoshi flood response needs stronger convergence, coordination and collaboration among all stakeholders.</w:t>
      </w:r>
    </w:p>
    <w:p w14:paraId="70B3D7C7">
      <w:pPr>
        <w:jc w:val="both"/>
        <w:rPr>
          <w:rFonts w:hint="eastAsia"/>
        </w:rPr>
      </w:pPr>
      <w:r>
        <w:t>The civil society dialogue held on 16 September 2026 brought together approximately 50 organizations to reflect on rescue and relief efforts, identify gaps and define practical measures for stronger quality, accountability and coordination. The discussion connected immediate humanitarian needs with the longer pathway of recovery, rehabilitation and reconstruction.</w:t>
      </w:r>
    </w:p>
    <w:p w14:paraId="7223A04E">
      <w:pPr>
        <w:jc w:val="both"/>
        <w:rPr>
          <w:rFonts w:hint="eastAsia"/>
        </w:rPr>
      </w:pPr>
    </w:p>
    <w:tbl>
      <w:tblPr>
        <w:tblStyle w:val="12"/>
        <w:tblW w:w="0" w:type="auto"/>
        <w:jc w:val="center"/>
        <w:tblLayout w:type="autofit"/>
        <w:tblCellMar>
          <w:top w:w="0" w:type="dxa"/>
          <w:left w:w="108" w:type="dxa"/>
          <w:bottom w:w="0" w:type="dxa"/>
          <w:right w:w="108" w:type="dxa"/>
        </w:tblCellMar>
      </w:tblPr>
      <w:tblGrid>
        <w:gridCol w:w="9835"/>
      </w:tblGrid>
      <w:tr w14:paraId="0127335B">
        <w:trPr>
          <w:jc w:val="center"/>
        </w:trPr>
        <w:tc>
          <w:tcPr>
            <w:tcW w:w="9835" w:type="dxa"/>
            <w:tcBorders>
              <w:top w:val="single" w:color="1F4E79" w:sz="6" w:space="0"/>
              <w:left w:val="single" w:color="1F4E79" w:sz="6" w:space="0"/>
              <w:bottom w:val="single" w:color="1F4E79" w:sz="6" w:space="0"/>
              <w:right w:val="single" w:color="1F4E79" w:sz="6" w:space="0"/>
            </w:tcBorders>
            <w:shd w:val="clear" w:color="auto" w:fill="EAF2F8"/>
          </w:tcPr>
          <w:p w14:paraId="60771C68">
            <w:pPr>
              <w:jc w:val="center"/>
              <w:rPr>
                <w:rFonts w:hint="eastAsia"/>
              </w:rPr>
            </w:pPr>
            <w:r>
              <w:rPr>
                <w:rFonts w:ascii="Aptos Display" w:hAnsi="Aptos Display"/>
                <w:b/>
                <w:color w:val="2E6EA0"/>
                <w:sz w:val="22"/>
              </w:rPr>
              <w:t>THE MESSAGE FOR ALL STAKEHOLDERS</w:t>
            </w:r>
          </w:p>
          <w:p w14:paraId="7843569D">
            <w:pPr>
              <w:jc w:val="center"/>
              <w:rPr>
                <w:rFonts w:hint="eastAsia"/>
              </w:rPr>
            </w:pPr>
            <w:r>
              <w:rPr>
                <w:b/>
                <w:color w:val="585858"/>
                <w:sz w:val="24"/>
              </w:rPr>
              <w:t>One coordinated response • shared information • quality standards • local leadership • accountability to affected people</w:t>
            </w:r>
          </w:p>
        </w:tc>
      </w:tr>
    </w:tbl>
    <w:p w14:paraId="0C719DDD">
      <w:pPr>
        <w:spacing w:before="40" w:after="40"/>
        <w:rPr>
          <w:rFonts w:hint="eastAsia" w:ascii="Aptos Display" w:hAnsi="Aptos Display"/>
          <w:b/>
          <w:color w:val="2E6EA0"/>
          <w:sz w:val="23"/>
        </w:rPr>
      </w:pPr>
    </w:p>
    <w:p w14:paraId="60FB5462">
      <w:pPr>
        <w:spacing w:before="40" w:after="40"/>
        <w:rPr>
          <w:rFonts w:hint="eastAsia"/>
          <w:sz w:val="24"/>
          <w:szCs w:val="24"/>
        </w:rPr>
      </w:pPr>
      <w:r>
        <w:rPr>
          <w:rFonts w:ascii="Aptos Display" w:hAnsi="Aptos Display"/>
          <w:b/>
          <w:color w:val="2E6EA0"/>
          <w:sz w:val="24"/>
          <w:szCs w:val="24"/>
        </w:rPr>
        <w:t>FLOOD RESPONSE SNAPSHOT</w:t>
      </w:r>
    </w:p>
    <w:p w14:paraId="19B8489A">
      <w:pPr>
        <w:spacing w:after="60"/>
        <w:rPr>
          <w:rFonts w:hint="eastAsia"/>
          <w:szCs w:val="20"/>
        </w:rPr>
      </w:pPr>
      <w:r>
        <w:rPr>
          <w:b/>
          <w:color w:val="667085"/>
          <w:szCs w:val="20"/>
        </w:rPr>
        <w:t>Government of Nepal / NDRRMA operational update • 16 September 2026</w:t>
      </w:r>
    </w:p>
    <w:tbl>
      <w:tblPr>
        <w:tblStyle w:val="12"/>
        <w:tblW w:w="10007" w:type="dxa"/>
        <w:jc w:val="center"/>
        <w:tblLayout w:type="fixed"/>
        <w:tblCellMar>
          <w:top w:w="0" w:type="dxa"/>
          <w:left w:w="108" w:type="dxa"/>
          <w:bottom w:w="0" w:type="dxa"/>
          <w:right w:w="108" w:type="dxa"/>
        </w:tblCellMar>
      </w:tblPr>
      <w:tblGrid>
        <w:gridCol w:w="3671"/>
        <w:gridCol w:w="1512"/>
        <w:gridCol w:w="4824"/>
      </w:tblGrid>
      <w:tr w14:paraId="169A0414">
        <w:trPr>
          <w:trHeight w:val="429" w:hRule="atLeast"/>
          <w:tblHeader/>
          <w:jc w:val="center"/>
        </w:trPr>
        <w:tc>
          <w:tcPr>
            <w:tcW w:w="3671" w:type="dxa"/>
            <w:shd w:val="clear" w:color="auto" w:fill="2E6EA0"/>
            <w:tcMar>
              <w:top w:w="45" w:type="dxa"/>
              <w:left w:w="70" w:type="dxa"/>
              <w:bottom w:w="45" w:type="dxa"/>
              <w:right w:w="70" w:type="dxa"/>
            </w:tcMar>
            <w:vAlign w:val="center"/>
          </w:tcPr>
          <w:p w14:paraId="0B5E50FA">
            <w:pPr>
              <w:jc w:val="center"/>
              <w:rPr>
                <w:rFonts w:hint="eastAsia"/>
                <w:szCs w:val="20"/>
              </w:rPr>
            </w:pPr>
            <w:r>
              <w:rPr>
                <w:b/>
                <w:color w:val="FFFFFF"/>
                <w:szCs w:val="20"/>
              </w:rPr>
              <w:t>INDICATOR</w:t>
            </w:r>
          </w:p>
        </w:tc>
        <w:tc>
          <w:tcPr>
            <w:tcW w:w="1512" w:type="dxa"/>
            <w:shd w:val="clear" w:color="auto" w:fill="2E6EA0"/>
            <w:tcMar>
              <w:top w:w="45" w:type="dxa"/>
              <w:left w:w="70" w:type="dxa"/>
              <w:bottom w:w="45" w:type="dxa"/>
              <w:right w:w="70" w:type="dxa"/>
            </w:tcMar>
            <w:vAlign w:val="center"/>
          </w:tcPr>
          <w:p w14:paraId="2EB87949">
            <w:pPr>
              <w:jc w:val="center"/>
              <w:rPr>
                <w:rFonts w:hint="eastAsia"/>
                <w:szCs w:val="20"/>
              </w:rPr>
            </w:pPr>
            <w:r>
              <w:rPr>
                <w:b/>
                <w:color w:val="FFFFFF"/>
                <w:szCs w:val="20"/>
              </w:rPr>
              <w:t>FIGURE</w:t>
            </w:r>
          </w:p>
        </w:tc>
        <w:tc>
          <w:tcPr>
            <w:tcW w:w="4824" w:type="dxa"/>
            <w:shd w:val="clear" w:color="auto" w:fill="2E6EA0"/>
            <w:tcMar>
              <w:top w:w="45" w:type="dxa"/>
              <w:left w:w="70" w:type="dxa"/>
              <w:bottom w:w="45" w:type="dxa"/>
              <w:right w:w="70" w:type="dxa"/>
            </w:tcMar>
            <w:vAlign w:val="center"/>
          </w:tcPr>
          <w:p w14:paraId="361069FE">
            <w:pPr>
              <w:jc w:val="center"/>
              <w:rPr>
                <w:rFonts w:hint="eastAsia"/>
                <w:szCs w:val="20"/>
              </w:rPr>
            </w:pPr>
            <w:r>
              <w:rPr>
                <w:b/>
                <w:color w:val="FFFFFF"/>
                <w:szCs w:val="20"/>
              </w:rPr>
              <w:t>QUALIFICATION</w:t>
            </w:r>
          </w:p>
        </w:tc>
      </w:tr>
      <w:tr w14:paraId="66D1DF43">
        <w:trPr>
          <w:trHeight w:val="429" w:hRule="atLeast"/>
          <w:jc w:val="center"/>
        </w:trPr>
        <w:tc>
          <w:tcPr>
            <w:tcW w:w="3671" w:type="dxa"/>
            <w:tcBorders>
              <w:top w:val="single" w:color="D6E2EC" w:sz="4" w:space="0"/>
              <w:left w:val="single" w:color="D6E2EC" w:sz="4" w:space="0"/>
              <w:bottom w:val="single" w:color="D6E2EC" w:sz="4" w:space="0"/>
              <w:right w:val="single" w:color="D6E2EC" w:sz="4" w:space="0"/>
            </w:tcBorders>
            <w:shd w:val="clear" w:color="auto" w:fill="EAF2F8"/>
            <w:tcMar>
              <w:top w:w="35" w:type="dxa"/>
              <w:left w:w="70" w:type="dxa"/>
              <w:bottom w:w="35" w:type="dxa"/>
              <w:right w:w="70" w:type="dxa"/>
            </w:tcMar>
            <w:vAlign w:val="center"/>
          </w:tcPr>
          <w:p w14:paraId="451A6F1A">
            <w:pPr>
              <w:rPr>
                <w:rFonts w:hint="eastAsia"/>
                <w:szCs w:val="20"/>
              </w:rPr>
            </w:pPr>
            <w:r>
              <w:rPr>
                <w:b/>
                <w:color w:val="245579"/>
                <w:szCs w:val="20"/>
              </w:rPr>
              <w:t>People affected</w:t>
            </w:r>
          </w:p>
        </w:tc>
        <w:tc>
          <w:tcPr>
            <w:tcW w:w="1512" w:type="dxa"/>
            <w:tcBorders>
              <w:top w:val="single" w:color="D6E2EC" w:sz="4" w:space="0"/>
              <w:left w:val="single" w:color="D6E2EC" w:sz="4" w:space="0"/>
              <w:bottom w:val="single" w:color="D6E2EC" w:sz="4" w:space="0"/>
              <w:right w:val="single" w:color="D6E2EC" w:sz="4" w:space="0"/>
            </w:tcBorders>
            <w:shd w:val="clear" w:color="auto" w:fill="EAF2F8"/>
            <w:tcMar>
              <w:top w:w="35" w:type="dxa"/>
              <w:left w:w="70" w:type="dxa"/>
              <w:bottom w:w="35" w:type="dxa"/>
              <w:right w:w="70" w:type="dxa"/>
            </w:tcMar>
            <w:vAlign w:val="center"/>
          </w:tcPr>
          <w:p w14:paraId="577CCD51">
            <w:pPr>
              <w:jc w:val="center"/>
              <w:rPr>
                <w:rFonts w:hint="eastAsia"/>
                <w:szCs w:val="20"/>
              </w:rPr>
            </w:pPr>
            <w:r>
              <w:rPr>
                <w:b/>
                <w:color w:val="245579"/>
                <w:szCs w:val="20"/>
              </w:rPr>
              <w:t>84,270</w:t>
            </w:r>
          </w:p>
        </w:tc>
        <w:tc>
          <w:tcPr>
            <w:tcW w:w="4824" w:type="dxa"/>
            <w:tcBorders>
              <w:top w:val="single" w:color="D6E2EC" w:sz="4" w:space="0"/>
              <w:left w:val="single" w:color="D6E2EC" w:sz="4" w:space="0"/>
              <w:bottom w:val="single" w:color="D6E2EC" w:sz="4" w:space="0"/>
              <w:right w:val="single" w:color="D6E2EC" w:sz="4" w:space="0"/>
            </w:tcBorders>
            <w:shd w:val="clear" w:color="auto" w:fill="EAF2F8"/>
            <w:tcMar>
              <w:top w:w="35" w:type="dxa"/>
              <w:left w:w="70" w:type="dxa"/>
              <w:bottom w:w="35" w:type="dxa"/>
              <w:right w:w="70" w:type="dxa"/>
            </w:tcMar>
            <w:vAlign w:val="center"/>
          </w:tcPr>
          <w:p w14:paraId="6471B689">
            <w:pPr>
              <w:rPr>
                <w:rFonts w:hint="eastAsia"/>
                <w:szCs w:val="20"/>
              </w:rPr>
            </w:pPr>
            <w:r>
              <w:rPr>
                <w:color w:val="667085"/>
                <w:szCs w:val="20"/>
              </w:rPr>
              <w:t>Estimated • 6 districts</w:t>
            </w:r>
          </w:p>
        </w:tc>
      </w:tr>
      <w:tr w14:paraId="25A4691C">
        <w:trPr>
          <w:trHeight w:val="429" w:hRule="atLeast"/>
          <w:jc w:val="center"/>
        </w:trPr>
        <w:tc>
          <w:tcPr>
            <w:tcW w:w="3671" w:type="dxa"/>
            <w:tcBorders>
              <w:top w:val="single" w:color="D6E2EC" w:sz="4" w:space="0"/>
              <w:left w:val="single" w:color="D6E2EC" w:sz="4" w:space="0"/>
              <w:bottom w:val="single" w:color="D6E2EC" w:sz="4" w:space="0"/>
              <w:right w:val="single" w:color="D6E2EC" w:sz="4" w:space="0"/>
            </w:tcBorders>
            <w:shd w:val="clear" w:color="auto" w:fill="F6F9FC"/>
            <w:tcMar>
              <w:top w:w="35" w:type="dxa"/>
              <w:left w:w="70" w:type="dxa"/>
              <w:bottom w:w="35" w:type="dxa"/>
              <w:right w:w="70" w:type="dxa"/>
            </w:tcMar>
            <w:vAlign w:val="center"/>
          </w:tcPr>
          <w:p w14:paraId="096405F0">
            <w:pPr>
              <w:rPr>
                <w:rFonts w:hint="eastAsia"/>
                <w:szCs w:val="20"/>
              </w:rPr>
            </w:pPr>
            <w:r>
              <w:rPr>
                <w:b/>
                <w:color w:val="245579"/>
                <w:szCs w:val="20"/>
              </w:rPr>
              <w:t>Children affected</w:t>
            </w:r>
          </w:p>
        </w:tc>
        <w:tc>
          <w:tcPr>
            <w:tcW w:w="1512" w:type="dxa"/>
            <w:tcBorders>
              <w:top w:val="single" w:color="D6E2EC" w:sz="4" w:space="0"/>
              <w:left w:val="single" w:color="D6E2EC" w:sz="4" w:space="0"/>
              <w:bottom w:val="single" w:color="D6E2EC" w:sz="4" w:space="0"/>
              <w:right w:val="single" w:color="D6E2EC" w:sz="4" w:space="0"/>
            </w:tcBorders>
            <w:shd w:val="clear" w:color="auto" w:fill="F6F9FC"/>
            <w:tcMar>
              <w:top w:w="35" w:type="dxa"/>
              <w:left w:w="70" w:type="dxa"/>
              <w:bottom w:w="35" w:type="dxa"/>
              <w:right w:w="70" w:type="dxa"/>
            </w:tcMar>
            <w:vAlign w:val="center"/>
          </w:tcPr>
          <w:p w14:paraId="03B83CE0">
            <w:pPr>
              <w:jc w:val="center"/>
              <w:rPr>
                <w:rFonts w:hint="eastAsia"/>
                <w:szCs w:val="20"/>
              </w:rPr>
            </w:pPr>
            <w:r>
              <w:rPr>
                <w:b/>
                <w:color w:val="245579"/>
                <w:szCs w:val="20"/>
              </w:rPr>
              <w:t>32,021</w:t>
            </w:r>
          </w:p>
        </w:tc>
        <w:tc>
          <w:tcPr>
            <w:tcW w:w="4824" w:type="dxa"/>
            <w:tcBorders>
              <w:top w:val="single" w:color="D6E2EC" w:sz="4" w:space="0"/>
              <w:left w:val="single" w:color="D6E2EC" w:sz="4" w:space="0"/>
              <w:bottom w:val="single" w:color="D6E2EC" w:sz="4" w:space="0"/>
              <w:right w:val="single" w:color="D6E2EC" w:sz="4" w:space="0"/>
            </w:tcBorders>
            <w:shd w:val="clear" w:color="auto" w:fill="F6F9FC"/>
            <w:tcMar>
              <w:top w:w="35" w:type="dxa"/>
              <w:left w:w="70" w:type="dxa"/>
              <w:bottom w:w="35" w:type="dxa"/>
              <w:right w:w="70" w:type="dxa"/>
            </w:tcMar>
            <w:vAlign w:val="center"/>
          </w:tcPr>
          <w:p w14:paraId="2FF98422">
            <w:pPr>
              <w:rPr>
                <w:rFonts w:hint="eastAsia"/>
                <w:szCs w:val="20"/>
              </w:rPr>
            </w:pPr>
            <w:r>
              <w:rPr>
                <w:color w:val="667085"/>
                <w:szCs w:val="20"/>
              </w:rPr>
              <w:t>Included in total</w:t>
            </w:r>
          </w:p>
        </w:tc>
      </w:tr>
      <w:tr w14:paraId="158773C7">
        <w:trPr>
          <w:trHeight w:val="429" w:hRule="atLeast"/>
          <w:jc w:val="center"/>
        </w:trPr>
        <w:tc>
          <w:tcPr>
            <w:tcW w:w="3671" w:type="dxa"/>
            <w:tcBorders>
              <w:top w:val="single" w:color="D6E2EC" w:sz="4" w:space="0"/>
              <w:left w:val="single" w:color="D6E2EC" w:sz="4" w:space="0"/>
              <w:bottom w:val="single" w:color="D6E2EC" w:sz="4" w:space="0"/>
              <w:right w:val="single" w:color="D6E2EC" w:sz="4" w:space="0"/>
            </w:tcBorders>
            <w:shd w:val="clear" w:color="auto" w:fill="EAF2F8"/>
            <w:tcMar>
              <w:top w:w="35" w:type="dxa"/>
              <w:left w:w="70" w:type="dxa"/>
              <w:bottom w:w="35" w:type="dxa"/>
              <w:right w:w="70" w:type="dxa"/>
            </w:tcMar>
            <w:vAlign w:val="center"/>
          </w:tcPr>
          <w:p w14:paraId="21623B74">
            <w:pPr>
              <w:rPr>
                <w:rFonts w:hint="eastAsia"/>
                <w:szCs w:val="20"/>
              </w:rPr>
            </w:pPr>
            <w:r>
              <w:rPr>
                <w:b/>
                <w:color w:val="245579"/>
                <w:szCs w:val="20"/>
              </w:rPr>
              <w:t>Persons with disabilities</w:t>
            </w:r>
          </w:p>
        </w:tc>
        <w:tc>
          <w:tcPr>
            <w:tcW w:w="1512" w:type="dxa"/>
            <w:tcBorders>
              <w:top w:val="single" w:color="D6E2EC" w:sz="4" w:space="0"/>
              <w:left w:val="single" w:color="D6E2EC" w:sz="4" w:space="0"/>
              <w:bottom w:val="single" w:color="D6E2EC" w:sz="4" w:space="0"/>
              <w:right w:val="single" w:color="D6E2EC" w:sz="4" w:space="0"/>
            </w:tcBorders>
            <w:shd w:val="clear" w:color="auto" w:fill="EAF2F8"/>
            <w:tcMar>
              <w:top w:w="35" w:type="dxa"/>
              <w:left w:w="70" w:type="dxa"/>
              <w:bottom w:w="35" w:type="dxa"/>
              <w:right w:w="70" w:type="dxa"/>
            </w:tcMar>
            <w:vAlign w:val="center"/>
          </w:tcPr>
          <w:p w14:paraId="42F7716B">
            <w:pPr>
              <w:jc w:val="center"/>
              <w:rPr>
                <w:rFonts w:hint="eastAsia"/>
                <w:szCs w:val="20"/>
              </w:rPr>
            </w:pPr>
            <w:r>
              <w:rPr>
                <w:b/>
                <w:color w:val="245579"/>
                <w:szCs w:val="20"/>
              </w:rPr>
              <w:t>1,854</w:t>
            </w:r>
          </w:p>
        </w:tc>
        <w:tc>
          <w:tcPr>
            <w:tcW w:w="4824" w:type="dxa"/>
            <w:tcBorders>
              <w:top w:val="single" w:color="D6E2EC" w:sz="4" w:space="0"/>
              <w:left w:val="single" w:color="D6E2EC" w:sz="4" w:space="0"/>
              <w:bottom w:val="single" w:color="D6E2EC" w:sz="4" w:space="0"/>
              <w:right w:val="single" w:color="D6E2EC" w:sz="4" w:space="0"/>
            </w:tcBorders>
            <w:shd w:val="clear" w:color="auto" w:fill="EAF2F8"/>
            <w:tcMar>
              <w:top w:w="35" w:type="dxa"/>
              <w:left w:w="70" w:type="dxa"/>
              <w:bottom w:w="35" w:type="dxa"/>
              <w:right w:w="70" w:type="dxa"/>
            </w:tcMar>
            <w:vAlign w:val="center"/>
          </w:tcPr>
          <w:p w14:paraId="3F0175E8">
            <w:pPr>
              <w:rPr>
                <w:rFonts w:hint="eastAsia"/>
                <w:szCs w:val="20"/>
              </w:rPr>
            </w:pPr>
            <w:r>
              <w:rPr>
                <w:color w:val="667085"/>
                <w:szCs w:val="20"/>
              </w:rPr>
              <w:t>Assessment figure*</w:t>
            </w:r>
          </w:p>
        </w:tc>
      </w:tr>
      <w:tr w14:paraId="46C910F0">
        <w:trPr>
          <w:trHeight w:val="429" w:hRule="atLeast"/>
          <w:jc w:val="center"/>
        </w:trPr>
        <w:tc>
          <w:tcPr>
            <w:tcW w:w="3671" w:type="dxa"/>
            <w:tcBorders>
              <w:top w:val="single" w:color="D6E2EC" w:sz="4" w:space="0"/>
              <w:left w:val="single" w:color="D6E2EC" w:sz="4" w:space="0"/>
              <w:bottom w:val="single" w:color="D6E2EC" w:sz="4" w:space="0"/>
              <w:right w:val="single" w:color="D6E2EC" w:sz="4" w:space="0"/>
            </w:tcBorders>
            <w:shd w:val="clear" w:color="auto" w:fill="F6F9FC"/>
            <w:tcMar>
              <w:top w:w="35" w:type="dxa"/>
              <w:left w:w="70" w:type="dxa"/>
              <w:bottom w:w="35" w:type="dxa"/>
              <w:right w:w="70" w:type="dxa"/>
            </w:tcMar>
            <w:vAlign w:val="center"/>
          </w:tcPr>
          <w:p w14:paraId="58F4FA22">
            <w:pPr>
              <w:rPr>
                <w:rFonts w:hint="eastAsia"/>
                <w:szCs w:val="20"/>
              </w:rPr>
            </w:pPr>
            <w:r>
              <w:rPr>
                <w:b/>
                <w:color w:val="245579"/>
                <w:szCs w:val="20"/>
              </w:rPr>
              <w:t>Municipalities / districts</w:t>
            </w:r>
          </w:p>
        </w:tc>
        <w:tc>
          <w:tcPr>
            <w:tcW w:w="1512" w:type="dxa"/>
            <w:tcBorders>
              <w:top w:val="single" w:color="D6E2EC" w:sz="4" w:space="0"/>
              <w:left w:val="single" w:color="D6E2EC" w:sz="4" w:space="0"/>
              <w:bottom w:val="single" w:color="D6E2EC" w:sz="4" w:space="0"/>
              <w:right w:val="single" w:color="D6E2EC" w:sz="4" w:space="0"/>
            </w:tcBorders>
            <w:shd w:val="clear" w:color="auto" w:fill="F6F9FC"/>
            <w:tcMar>
              <w:top w:w="35" w:type="dxa"/>
              <w:left w:w="70" w:type="dxa"/>
              <w:bottom w:w="35" w:type="dxa"/>
              <w:right w:w="70" w:type="dxa"/>
            </w:tcMar>
            <w:vAlign w:val="center"/>
          </w:tcPr>
          <w:p w14:paraId="48C0FC9A">
            <w:pPr>
              <w:jc w:val="center"/>
              <w:rPr>
                <w:rFonts w:hint="eastAsia"/>
                <w:szCs w:val="20"/>
              </w:rPr>
            </w:pPr>
            <w:r>
              <w:rPr>
                <w:b/>
                <w:color w:val="245579"/>
                <w:szCs w:val="20"/>
              </w:rPr>
              <w:t>17 / 6</w:t>
            </w:r>
          </w:p>
        </w:tc>
        <w:tc>
          <w:tcPr>
            <w:tcW w:w="4824" w:type="dxa"/>
            <w:tcBorders>
              <w:top w:val="single" w:color="D6E2EC" w:sz="4" w:space="0"/>
              <w:left w:val="single" w:color="D6E2EC" w:sz="4" w:space="0"/>
              <w:bottom w:val="single" w:color="D6E2EC" w:sz="4" w:space="0"/>
              <w:right w:val="single" w:color="D6E2EC" w:sz="4" w:space="0"/>
            </w:tcBorders>
            <w:shd w:val="clear" w:color="auto" w:fill="F6F9FC"/>
            <w:tcMar>
              <w:top w:w="35" w:type="dxa"/>
              <w:left w:w="70" w:type="dxa"/>
              <w:bottom w:w="35" w:type="dxa"/>
              <w:right w:w="70" w:type="dxa"/>
            </w:tcMar>
            <w:vAlign w:val="center"/>
          </w:tcPr>
          <w:p w14:paraId="77DD977F">
            <w:pPr>
              <w:rPr>
                <w:rFonts w:hint="eastAsia"/>
                <w:szCs w:val="20"/>
              </w:rPr>
            </w:pPr>
            <w:r>
              <w:rPr>
                <w:color w:val="667085"/>
                <w:szCs w:val="20"/>
              </w:rPr>
              <w:t>Assessment coverage*</w:t>
            </w:r>
          </w:p>
        </w:tc>
      </w:tr>
      <w:tr w14:paraId="47E00FA8">
        <w:trPr>
          <w:trHeight w:val="429" w:hRule="atLeast"/>
          <w:jc w:val="center"/>
        </w:trPr>
        <w:tc>
          <w:tcPr>
            <w:tcW w:w="3671" w:type="dxa"/>
            <w:tcBorders>
              <w:top w:val="single" w:color="D6E2EC" w:sz="4" w:space="0"/>
              <w:left w:val="single" w:color="D6E2EC" w:sz="4" w:space="0"/>
              <w:bottom w:val="single" w:color="D6E2EC" w:sz="4" w:space="0"/>
              <w:right w:val="single" w:color="D6E2EC" w:sz="4" w:space="0"/>
            </w:tcBorders>
            <w:shd w:val="clear" w:color="auto" w:fill="EAF2F8"/>
            <w:tcMar>
              <w:top w:w="35" w:type="dxa"/>
              <w:left w:w="70" w:type="dxa"/>
              <w:bottom w:w="35" w:type="dxa"/>
              <w:right w:w="70" w:type="dxa"/>
            </w:tcMar>
            <w:vAlign w:val="center"/>
          </w:tcPr>
          <w:p w14:paraId="50ABDB85">
            <w:pPr>
              <w:rPr>
                <w:rFonts w:hint="eastAsia"/>
                <w:szCs w:val="20"/>
              </w:rPr>
            </w:pPr>
            <w:r>
              <w:rPr>
                <w:b/>
                <w:color w:val="245579"/>
                <w:szCs w:val="20"/>
              </w:rPr>
              <w:t>Deaths / bodies recovered</w:t>
            </w:r>
          </w:p>
        </w:tc>
        <w:tc>
          <w:tcPr>
            <w:tcW w:w="1512" w:type="dxa"/>
            <w:tcBorders>
              <w:top w:val="single" w:color="D6E2EC" w:sz="4" w:space="0"/>
              <w:left w:val="single" w:color="D6E2EC" w:sz="4" w:space="0"/>
              <w:bottom w:val="single" w:color="D6E2EC" w:sz="4" w:space="0"/>
              <w:right w:val="single" w:color="D6E2EC" w:sz="4" w:space="0"/>
            </w:tcBorders>
            <w:shd w:val="clear" w:color="auto" w:fill="EAF2F8"/>
            <w:tcMar>
              <w:top w:w="35" w:type="dxa"/>
              <w:left w:w="70" w:type="dxa"/>
              <w:bottom w:w="35" w:type="dxa"/>
              <w:right w:w="70" w:type="dxa"/>
            </w:tcMar>
            <w:vAlign w:val="center"/>
          </w:tcPr>
          <w:p w14:paraId="704275F3">
            <w:pPr>
              <w:jc w:val="center"/>
              <w:rPr>
                <w:rFonts w:hint="eastAsia"/>
                <w:szCs w:val="20"/>
              </w:rPr>
            </w:pPr>
            <w:r>
              <w:rPr>
                <w:b/>
                <w:color w:val="245579"/>
                <w:szCs w:val="20"/>
              </w:rPr>
              <w:t>1,403</w:t>
            </w:r>
          </w:p>
        </w:tc>
        <w:tc>
          <w:tcPr>
            <w:tcW w:w="4824" w:type="dxa"/>
            <w:tcBorders>
              <w:top w:val="single" w:color="D6E2EC" w:sz="4" w:space="0"/>
              <w:left w:val="single" w:color="D6E2EC" w:sz="4" w:space="0"/>
              <w:bottom w:val="single" w:color="D6E2EC" w:sz="4" w:space="0"/>
              <w:right w:val="single" w:color="D6E2EC" w:sz="4" w:space="0"/>
            </w:tcBorders>
            <w:shd w:val="clear" w:color="auto" w:fill="EAF2F8"/>
            <w:tcMar>
              <w:top w:w="35" w:type="dxa"/>
              <w:left w:w="70" w:type="dxa"/>
              <w:bottom w:w="35" w:type="dxa"/>
              <w:right w:w="70" w:type="dxa"/>
            </w:tcMar>
            <w:vAlign w:val="center"/>
          </w:tcPr>
          <w:p w14:paraId="7F57452B">
            <w:pPr>
              <w:rPr>
                <w:rFonts w:hint="eastAsia"/>
                <w:szCs w:val="20"/>
              </w:rPr>
            </w:pPr>
            <w:r>
              <w:rPr>
                <w:color w:val="667085"/>
                <w:szCs w:val="20"/>
              </w:rPr>
              <w:t>105 bodies handed over</w:t>
            </w:r>
          </w:p>
        </w:tc>
      </w:tr>
      <w:tr w14:paraId="1283E11B">
        <w:trPr>
          <w:trHeight w:val="429" w:hRule="atLeast"/>
          <w:jc w:val="center"/>
        </w:trPr>
        <w:tc>
          <w:tcPr>
            <w:tcW w:w="3671" w:type="dxa"/>
            <w:tcBorders>
              <w:top w:val="single" w:color="D6E2EC" w:sz="4" w:space="0"/>
              <w:left w:val="single" w:color="D6E2EC" w:sz="4" w:space="0"/>
              <w:bottom w:val="single" w:color="D6E2EC" w:sz="4" w:space="0"/>
              <w:right w:val="single" w:color="D6E2EC" w:sz="4" w:space="0"/>
            </w:tcBorders>
            <w:shd w:val="clear" w:color="auto" w:fill="F6F9FC"/>
            <w:tcMar>
              <w:top w:w="35" w:type="dxa"/>
              <w:left w:w="70" w:type="dxa"/>
              <w:bottom w:w="35" w:type="dxa"/>
              <w:right w:w="70" w:type="dxa"/>
            </w:tcMar>
            <w:vAlign w:val="center"/>
          </w:tcPr>
          <w:p w14:paraId="6D42772F">
            <w:pPr>
              <w:rPr>
                <w:rFonts w:hint="eastAsia"/>
                <w:szCs w:val="20"/>
              </w:rPr>
            </w:pPr>
            <w:r>
              <w:rPr>
                <w:b/>
                <w:color w:val="245579"/>
                <w:szCs w:val="20"/>
              </w:rPr>
              <w:t>People listed as missing</w:t>
            </w:r>
          </w:p>
        </w:tc>
        <w:tc>
          <w:tcPr>
            <w:tcW w:w="1512" w:type="dxa"/>
            <w:tcBorders>
              <w:top w:val="single" w:color="D6E2EC" w:sz="4" w:space="0"/>
              <w:left w:val="single" w:color="D6E2EC" w:sz="4" w:space="0"/>
              <w:bottom w:val="single" w:color="D6E2EC" w:sz="4" w:space="0"/>
              <w:right w:val="single" w:color="D6E2EC" w:sz="4" w:space="0"/>
            </w:tcBorders>
            <w:shd w:val="clear" w:color="auto" w:fill="F6F9FC"/>
            <w:tcMar>
              <w:top w:w="35" w:type="dxa"/>
              <w:left w:w="70" w:type="dxa"/>
              <w:bottom w:w="35" w:type="dxa"/>
              <w:right w:w="70" w:type="dxa"/>
            </w:tcMar>
            <w:vAlign w:val="center"/>
          </w:tcPr>
          <w:p w14:paraId="2C46F986">
            <w:pPr>
              <w:jc w:val="center"/>
              <w:rPr>
                <w:rFonts w:hint="eastAsia"/>
                <w:szCs w:val="20"/>
              </w:rPr>
            </w:pPr>
            <w:r>
              <w:rPr>
                <w:b/>
                <w:color w:val="245579"/>
                <w:szCs w:val="20"/>
              </w:rPr>
              <w:t>6,150</w:t>
            </w:r>
          </w:p>
        </w:tc>
        <w:tc>
          <w:tcPr>
            <w:tcW w:w="4824" w:type="dxa"/>
            <w:tcBorders>
              <w:top w:val="single" w:color="D6E2EC" w:sz="4" w:space="0"/>
              <w:left w:val="single" w:color="D6E2EC" w:sz="4" w:space="0"/>
              <w:bottom w:val="single" w:color="D6E2EC" w:sz="4" w:space="0"/>
              <w:right w:val="single" w:color="D6E2EC" w:sz="4" w:space="0"/>
            </w:tcBorders>
            <w:shd w:val="clear" w:color="auto" w:fill="F6F9FC"/>
            <w:tcMar>
              <w:top w:w="35" w:type="dxa"/>
              <w:left w:w="70" w:type="dxa"/>
              <w:bottom w:w="35" w:type="dxa"/>
              <w:right w:w="70" w:type="dxa"/>
            </w:tcMar>
            <w:vAlign w:val="center"/>
          </w:tcPr>
          <w:p w14:paraId="081297AF">
            <w:pPr>
              <w:rPr>
                <w:rFonts w:hint="eastAsia"/>
                <w:szCs w:val="20"/>
              </w:rPr>
            </w:pPr>
            <w:r>
              <w:rPr>
                <w:color w:val="667085"/>
                <w:szCs w:val="20"/>
              </w:rPr>
              <w:t>Verification ongoing</w:t>
            </w:r>
          </w:p>
        </w:tc>
      </w:tr>
      <w:tr w14:paraId="1DBB1BC2">
        <w:trPr>
          <w:trHeight w:val="429" w:hRule="atLeast"/>
          <w:jc w:val="center"/>
        </w:trPr>
        <w:tc>
          <w:tcPr>
            <w:tcW w:w="3671" w:type="dxa"/>
            <w:tcBorders>
              <w:top w:val="single" w:color="D6E2EC" w:sz="4" w:space="0"/>
              <w:left w:val="single" w:color="D6E2EC" w:sz="4" w:space="0"/>
              <w:bottom w:val="single" w:color="D6E2EC" w:sz="4" w:space="0"/>
              <w:right w:val="single" w:color="D6E2EC" w:sz="4" w:space="0"/>
            </w:tcBorders>
            <w:shd w:val="clear" w:color="auto" w:fill="EAF2F8"/>
            <w:tcMar>
              <w:top w:w="35" w:type="dxa"/>
              <w:left w:w="70" w:type="dxa"/>
              <w:bottom w:w="35" w:type="dxa"/>
              <w:right w:w="70" w:type="dxa"/>
            </w:tcMar>
            <w:vAlign w:val="center"/>
          </w:tcPr>
          <w:p w14:paraId="7C7D4C8F">
            <w:pPr>
              <w:rPr>
                <w:rFonts w:hint="eastAsia"/>
                <w:szCs w:val="20"/>
              </w:rPr>
            </w:pPr>
            <w:r>
              <w:rPr>
                <w:b/>
                <w:color w:val="245579"/>
                <w:szCs w:val="20"/>
              </w:rPr>
              <w:t>People rescued</w:t>
            </w:r>
          </w:p>
        </w:tc>
        <w:tc>
          <w:tcPr>
            <w:tcW w:w="1512" w:type="dxa"/>
            <w:tcBorders>
              <w:top w:val="single" w:color="D6E2EC" w:sz="4" w:space="0"/>
              <w:left w:val="single" w:color="D6E2EC" w:sz="4" w:space="0"/>
              <w:bottom w:val="single" w:color="D6E2EC" w:sz="4" w:space="0"/>
              <w:right w:val="single" w:color="D6E2EC" w:sz="4" w:space="0"/>
            </w:tcBorders>
            <w:shd w:val="clear" w:color="auto" w:fill="EAF2F8"/>
            <w:tcMar>
              <w:top w:w="35" w:type="dxa"/>
              <w:left w:w="70" w:type="dxa"/>
              <w:bottom w:w="35" w:type="dxa"/>
              <w:right w:w="70" w:type="dxa"/>
            </w:tcMar>
            <w:vAlign w:val="center"/>
          </w:tcPr>
          <w:p w14:paraId="555AFC59">
            <w:pPr>
              <w:jc w:val="center"/>
              <w:rPr>
                <w:rFonts w:hint="eastAsia"/>
                <w:szCs w:val="20"/>
              </w:rPr>
            </w:pPr>
            <w:r>
              <w:rPr>
                <w:b/>
                <w:color w:val="245579"/>
                <w:szCs w:val="20"/>
              </w:rPr>
              <w:t>13,742</w:t>
            </w:r>
          </w:p>
        </w:tc>
        <w:tc>
          <w:tcPr>
            <w:tcW w:w="4824" w:type="dxa"/>
            <w:tcBorders>
              <w:top w:val="single" w:color="D6E2EC" w:sz="4" w:space="0"/>
              <w:left w:val="single" w:color="D6E2EC" w:sz="4" w:space="0"/>
              <w:bottom w:val="single" w:color="D6E2EC" w:sz="4" w:space="0"/>
              <w:right w:val="single" w:color="D6E2EC" w:sz="4" w:space="0"/>
            </w:tcBorders>
            <w:shd w:val="clear" w:color="auto" w:fill="EAF2F8"/>
            <w:tcMar>
              <w:top w:w="35" w:type="dxa"/>
              <w:left w:w="70" w:type="dxa"/>
              <w:bottom w:w="35" w:type="dxa"/>
              <w:right w:w="70" w:type="dxa"/>
            </w:tcMar>
            <w:vAlign w:val="center"/>
          </w:tcPr>
          <w:p w14:paraId="103B93F8">
            <w:pPr>
              <w:rPr>
                <w:rFonts w:hint="eastAsia"/>
                <w:szCs w:val="20"/>
              </w:rPr>
            </w:pPr>
            <w:r>
              <w:rPr>
                <w:color w:val="667085"/>
                <w:szCs w:val="20"/>
              </w:rPr>
              <w:t>Government operational figure</w:t>
            </w:r>
          </w:p>
        </w:tc>
      </w:tr>
      <w:tr w14:paraId="2A9B8FBB">
        <w:trPr>
          <w:trHeight w:val="429" w:hRule="atLeast"/>
          <w:jc w:val="center"/>
        </w:trPr>
        <w:tc>
          <w:tcPr>
            <w:tcW w:w="3671" w:type="dxa"/>
            <w:tcBorders>
              <w:top w:val="single" w:color="D6E2EC" w:sz="4" w:space="0"/>
              <w:left w:val="single" w:color="D6E2EC" w:sz="4" w:space="0"/>
              <w:bottom w:val="single" w:color="D6E2EC" w:sz="4" w:space="0"/>
              <w:right w:val="single" w:color="D6E2EC" w:sz="4" w:space="0"/>
            </w:tcBorders>
            <w:shd w:val="clear" w:color="auto" w:fill="F6F9FC"/>
            <w:tcMar>
              <w:top w:w="35" w:type="dxa"/>
              <w:left w:w="70" w:type="dxa"/>
              <w:bottom w:w="35" w:type="dxa"/>
              <w:right w:w="70" w:type="dxa"/>
            </w:tcMar>
            <w:vAlign w:val="center"/>
          </w:tcPr>
          <w:p w14:paraId="4E59F619">
            <w:pPr>
              <w:rPr>
                <w:rFonts w:hint="eastAsia"/>
                <w:szCs w:val="20"/>
              </w:rPr>
            </w:pPr>
            <w:r>
              <w:rPr>
                <w:b/>
                <w:color w:val="245579"/>
                <w:szCs w:val="20"/>
              </w:rPr>
              <w:t>People in holding centres</w:t>
            </w:r>
          </w:p>
        </w:tc>
        <w:tc>
          <w:tcPr>
            <w:tcW w:w="1512" w:type="dxa"/>
            <w:tcBorders>
              <w:top w:val="single" w:color="D6E2EC" w:sz="4" w:space="0"/>
              <w:left w:val="single" w:color="D6E2EC" w:sz="4" w:space="0"/>
              <w:bottom w:val="single" w:color="D6E2EC" w:sz="4" w:space="0"/>
              <w:right w:val="single" w:color="D6E2EC" w:sz="4" w:space="0"/>
            </w:tcBorders>
            <w:shd w:val="clear" w:color="auto" w:fill="F6F9FC"/>
            <w:tcMar>
              <w:top w:w="35" w:type="dxa"/>
              <w:left w:w="70" w:type="dxa"/>
              <w:bottom w:w="35" w:type="dxa"/>
              <w:right w:w="70" w:type="dxa"/>
            </w:tcMar>
            <w:vAlign w:val="center"/>
          </w:tcPr>
          <w:p w14:paraId="0EF66DF9">
            <w:pPr>
              <w:jc w:val="center"/>
              <w:rPr>
                <w:rFonts w:hint="eastAsia"/>
                <w:szCs w:val="20"/>
              </w:rPr>
            </w:pPr>
            <w:r>
              <w:rPr>
                <w:b/>
                <w:color w:val="245579"/>
                <w:szCs w:val="20"/>
              </w:rPr>
              <w:t>2,096</w:t>
            </w:r>
          </w:p>
        </w:tc>
        <w:tc>
          <w:tcPr>
            <w:tcW w:w="4824" w:type="dxa"/>
            <w:tcBorders>
              <w:top w:val="single" w:color="D6E2EC" w:sz="4" w:space="0"/>
              <w:left w:val="single" w:color="D6E2EC" w:sz="4" w:space="0"/>
              <w:bottom w:val="single" w:color="D6E2EC" w:sz="4" w:space="0"/>
              <w:right w:val="single" w:color="D6E2EC" w:sz="4" w:space="0"/>
            </w:tcBorders>
            <w:shd w:val="clear" w:color="auto" w:fill="F6F9FC"/>
            <w:tcMar>
              <w:top w:w="35" w:type="dxa"/>
              <w:left w:w="70" w:type="dxa"/>
              <w:bottom w:w="35" w:type="dxa"/>
              <w:right w:w="70" w:type="dxa"/>
            </w:tcMar>
            <w:vAlign w:val="center"/>
          </w:tcPr>
          <w:p w14:paraId="7F733F68">
            <w:pPr>
              <w:rPr>
                <w:rFonts w:hint="eastAsia"/>
                <w:szCs w:val="20"/>
              </w:rPr>
            </w:pPr>
            <w:r>
              <w:rPr>
                <w:color w:val="667085"/>
                <w:szCs w:val="20"/>
              </w:rPr>
              <w:t>29 centres • Rasuwa, Nuwakot, Dhading</w:t>
            </w:r>
          </w:p>
        </w:tc>
      </w:tr>
    </w:tbl>
    <w:p w14:paraId="5C06AA55">
      <w:pPr>
        <w:pBdr>
          <w:bottom w:val="single" w:color="D6E2EC" w:sz="4" w:space="3"/>
        </w:pBdr>
        <w:spacing w:before="40" w:after="80" w:line="240" w:lineRule="auto"/>
        <w:rPr>
          <w:rFonts w:hint="eastAsia"/>
          <w:szCs w:val="20"/>
        </w:rPr>
      </w:pPr>
      <w:r>
        <w:rPr>
          <w:b/>
          <w:color w:val="667085"/>
          <w:szCs w:val="20"/>
        </w:rPr>
        <w:t xml:space="preserve">Source:  </w:t>
      </w:r>
      <w:r>
        <w:fldChar w:fldCharType="begin"/>
      </w:r>
      <w:r>
        <w:instrText xml:space="preserve"> HYPERLINK "https://mofnepal.github.io/rasuwa-flood-update/en/rescue/" \h </w:instrText>
      </w:r>
      <w:r>
        <w:fldChar w:fldCharType="separate"/>
      </w:r>
      <w:r>
        <w:rPr>
          <w:color w:val="2E6EA0"/>
          <w:szCs w:val="20"/>
          <w:u w:val="single"/>
        </w:rPr>
        <w:t>MoF/NDRRMA Rasuwa–Bhotekoshi Flood Update</w:t>
      </w:r>
      <w:r>
        <w:rPr>
          <w:color w:val="2E6EA0"/>
          <w:szCs w:val="20"/>
          <w:u w:val="single"/>
        </w:rPr>
        <w:fldChar w:fldCharType="end"/>
      </w:r>
      <w:r>
        <w:rPr>
          <w:color w:val="667085"/>
          <w:szCs w:val="20"/>
        </w:rPr>
        <w:t xml:space="preserve">  Affected-population cross-check: </w:t>
      </w:r>
      <w:r>
        <w:fldChar w:fldCharType="begin"/>
      </w:r>
      <w:r>
        <w:instrText xml:space="preserve"> HYPERLINK "https://www.unicef.org/nepal/stories/what-floods-left-behind" \h </w:instrText>
      </w:r>
      <w:r>
        <w:fldChar w:fldCharType="separate"/>
      </w:r>
      <w:r>
        <w:rPr>
          <w:color w:val="2E6EA0"/>
          <w:szCs w:val="20"/>
          <w:u w:val="single"/>
        </w:rPr>
        <w:t>UNICEF Nepal, 16 Sep 2026</w:t>
      </w:r>
      <w:r>
        <w:rPr>
          <w:color w:val="2E6EA0"/>
          <w:szCs w:val="20"/>
          <w:u w:val="single"/>
        </w:rPr>
        <w:fldChar w:fldCharType="end"/>
      </w:r>
    </w:p>
    <w:p w14:paraId="6B5D589B">
      <w:pPr>
        <w:spacing w:before="100" w:after="80"/>
        <w:rPr>
          <w:rFonts w:hint="eastAsia" w:ascii="Aptos Display" w:hAnsi="Aptos Display"/>
          <w:b/>
          <w:color w:val="2E6EA0"/>
          <w:sz w:val="25"/>
        </w:rPr>
      </w:pPr>
    </w:p>
    <w:p w14:paraId="784485A8">
      <w:pPr>
        <w:spacing w:before="100" w:after="80"/>
        <w:rPr>
          <w:rFonts w:hint="eastAsia"/>
        </w:rPr>
      </w:pPr>
      <w:r>
        <w:rPr>
          <w:b/>
          <w:color w:val="2E6EA0"/>
          <w:sz w:val="25"/>
        </w:rPr>
        <w:t xml:space="preserve"> Why a Coordinated Response Matters</w:t>
      </w:r>
      <w:r>
        <w:rPr>
          <w:rFonts w:hint="eastAsia"/>
          <w:b/>
          <w:color w:val="2E6EA0"/>
          <w:sz w:val="25"/>
        </w:rPr>
        <w:t>?</w:t>
      </w:r>
    </w:p>
    <w:p w14:paraId="5FAD6DD8">
      <w:pPr>
        <w:pStyle w:val="23"/>
        <w:spacing w:after="60"/>
        <w:ind w:left="317"/>
        <w:rPr>
          <w:rFonts w:hint="eastAsia"/>
        </w:rPr>
      </w:pPr>
      <w:r>
        <w:t>Humanitarian actors need a common picture of who is providing what assistance, where, to how many families and through which mechanism.</w:t>
      </w:r>
    </w:p>
    <w:p w14:paraId="43C8973C">
      <w:pPr>
        <w:pStyle w:val="23"/>
        <w:spacing w:after="60"/>
        <w:ind w:left="317"/>
        <w:rPr>
          <w:rFonts w:hint="eastAsia"/>
        </w:rPr>
      </w:pPr>
      <w:r>
        <w:t>Relief quality must be assessed by relevance, dignity, protection, accessibility and accountability—not only by quantity.</w:t>
      </w:r>
    </w:p>
    <w:p w14:paraId="2906F73F">
      <w:pPr>
        <w:pStyle w:val="23"/>
        <w:spacing w:after="60"/>
        <w:ind w:left="317"/>
        <w:rPr>
          <w:rFonts w:hint="eastAsia"/>
        </w:rPr>
      </w:pPr>
      <w:r>
        <w:t>Sphere Standards and the Core Humanitarian Standard (CHS) need practical application, monitoring and context-sensitive implementation.</w:t>
      </w:r>
    </w:p>
    <w:p w14:paraId="23F68C70">
      <w:pPr>
        <w:pStyle w:val="23"/>
        <w:spacing w:after="60"/>
        <w:ind w:left="317"/>
        <w:rPr>
          <w:rFonts w:hint="eastAsia"/>
        </w:rPr>
      </w:pPr>
      <w:r>
        <w:t>Response and recovery must address the needs of older persons, pregnant and postpartum women, women, children and other vulnerable groups.</w:t>
      </w:r>
    </w:p>
    <w:p w14:paraId="60F70533">
      <w:pPr>
        <w:pStyle w:val="23"/>
        <w:spacing w:after="60"/>
        <w:ind w:left="317"/>
        <w:rPr>
          <w:rFonts w:hint="eastAsia"/>
        </w:rPr>
      </w:pPr>
      <w:r>
        <w:t>Government, civil society, humanitarian partners, academia and local actors have complementary mandates, resources, knowledge and networks.</w:t>
      </w:r>
    </w:p>
    <w:p w14:paraId="13C7322C">
      <w:pPr>
        <w:pStyle w:val="23"/>
        <w:numPr>
          <w:ilvl w:val="0"/>
          <w:numId w:val="0"/>
        </w:numPr>
        <w:spacing w:after="60"/>
        <w:ind w:left="317"/>
        <w:rPr>
          <w:rFonts w:hint="eastAsia"/>
        </w:rPr>
      </w:pPr>
    </w:p>
    <w:p w14:paraId="41CEAC1C">
      <w:pPr>
        <w:spacing w:after="40"/>
        <w:jc w:val="center"/>
        <w:rPr>
          <w:rFonts w:hint="eastAsia"/>
        </w:rPr>
      </w:pPr>
      <w:r>
        <w:rPr>
          <w:lang w:bidi="ne-NP"/>
        </w:rPr>
        <w:drawing>
          <wp:inline distT="0" distB="0" distL="0" distR="0">
            <wp:extent cx="5989320" cy="44894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0"/>
                    <a:stretch>
                      <a:fillRect/>
                    </a:stretch>
                  </pic:blipFill>
                  <pic:spPr>
                    <a:xfrm>
                      <a:off x="0" y="0"/>
                      <a:ext cx="5989320" cy="4489718"/>
                    </a:xfrm>
                    <a:prstGeom prst="rect">
                      <a:avLst/>
                    </a:prstGeom>
                  </pic:spPr>
                </pic:pic>
              </a:graphicData>
            </a:graphic>
          </wp:inline>
        </w:drawing>
      </w:r>
    </w:p>
    <w:p w14:paraId="5E7A9D90">
      <w:pPr>
        <w:spacing w:after="120"/>
        <w:jc w:val="center"/>
        <w:rPr>
          <w:rFonts w:hint="eastAsia"/>
          <w:b/>
          <w:bCs/>
          <w:iCs/>
          <w:szCs w:val="20"/>
        </w:rPr>
      </w:pPr>
      <w:r>
        <w:rPr>
          <w:b/>
          <w:bCs/>
          <w:iCs/>
          <w:color w:val="585858"/>
          <w:szCs w:val="20"/>
        </w:rPr>
        <w:t>Figure 1. Stakeholders participating in the civil society dialogue on humanitarian assistance and the Rasuwa–Bhotekoshi flood response.</w:t>
      </w:r>
    </w:p>
    <w:p w14:paraId="1ED8C549">
      <w:pPr>
        <w:spacing w:before="140" w:after="80"/>
        <w:rPr>
          <w:rFonts w:hint="eastAsia" w:ascii="Aptos Display" w:hAnsi="Aptos Display"/>
          <w:b/>
          <w:color w:val="2E6EA0"/>
          <w:sz w:val="34"/>
        </w:rPr>
      </w:pPr>
    </w:p>
    <w:p w14:paraId="045004FF">
      <w:pPr>
        <w:rPr>
          <w:rFonts w:hint="eastAsia" w:ascii="Aptos Display" w:hAnsi="Aptos Display"/>
          <w:b/>
          <w:color w:val="2E6EA0"/>
          <w:sz w:val="34"/>
        </w:rPr>
      </w:pPr>
      <w:r>
        <w:rPr>
          <w:rFonts w:ascii="Aptos Display" w:hAnsi="Aptos Display"/>
          <w:b/>
          <w:color w:val="2E6EA0"/>
          <w:sz w:val="34"/>
        </w:rPr>
        <w:t>2. Dialogue Background and Leadership</w:t>
      </w:r>
    </w:p>
    <w:p w14:paraId="299EBA66">
      <w:pPr>
        <w:jc w:val="both"/>
        <w:rPr>
          <w:rFonts w:hint="eastAsia"/>
        </w:rPr>
      </w:pPr>
      <w:r>
        <w:t xml:space="preserve">The dialogue was organized by the NGO Group under the National Platform for Disaster Risk Reduction, with the involvement of DiMaNN and the NGO Federation of Nepal. </w:t>
      </w:r>
      <w:r>
        <w:rPr>
          <w:b/>
          <w:bCs/>
        </w:rPr>
        <w:t>Mr. Surya Bahadur Thapa, President of DiMaNN</w:t>
      </w:r>
      <w:r>
        <w:t xml:space="preserve"> and the NGO Group, chaired the programme. </w:t>
      </w:r>
      <w:r>
        <w:rPr>
          <w:b/>
          <w:bCs/>
        </w:rPr>
        <w:t>Mr. Arjun Bhattarai, President of the NGO Federation of Nepal</w:t>
      </w:r>
      <w:r>
        <w:t>, delivered the welcome remarks and highlighted the objectives.</w:t>
      </w:r>
    </w:p>
    <w:p w14:paraId="27B56A2F">
      <w:pPr>
        <w:jc w:val="both"/>
        <w:rPr>
          <w:rFonts w:hint="eastAsia"/>
        </w:rPr>
      </w:pPr>
      <w:r>
        <w:rPr>
          <w:b/>
          <w:bCs/>
        </w:rPr>
        <w:t>Dr. Sunita Sharma, Advisor to DiMaNN, presented</w:t>
      </w:r>
      <w:r>
        <w:t xml:space="preserve"> on the Sphere Standards and Core Humanitarian Standards (CHS), including their application and importance. </w:t>
      </w:r>
      <w:r>
        <w:rPr>
          <w:b/>
          <w:bCs/>
        </w:rPr>
        <w:t>Mr. Shyam Sundar Gyawali, Advisor</w:t>
      </w:r>
      <w:r>
        <w:t xml:space="preserve"> to DiMaNN, further clarified the standards and shared observations on their application during relief distribution, the quality of assistance, dignity of affected people and the role of civil society organizations.</w:t>
      </w:r>
    </w:p>
    <w:p w14:paraId="67D422F1">
      <w:pPr>
        <w:spacing w:before="100" w:after="80"/>
        <w:rPr>
          <w:rFonts w:hint="eastAsia" w:ascii="Aptos Display" w:hAnsi="Aptos Display"/>
          <w:b/>
          <w:color w:val="2E6EA0"/>
          <w:sz w:val="25"/>
        </w:rPr>
      </w:pPr>
    </w:p>
    <w:p w14:paraId="3C66A2D1">
      <w:pPr>
        <w:rPr>
          <w:rFonts w:hint="eastAsia" w:ascii="Aptos Display" w:hAnsi="Aptos Display"/>
          <w:b/>
          <w:color w:val="2E6EA0"/>
          <w:sz w:val="34"/>
        </w:rPr>
      </w:pPr>
      <w:r>
        <w:rPr>
          <w:rFonts w:ascii="Aptos Display" w:hAnsi="Aptos Display"/>
          <w:b/>
          <w:color w:val="2E6EA0"/>
          <w:sz w:val="34"/>
        </w:rPr>
        <w:t>3. What Participants Identified</w:t>
      </w:r>
    </w:p>
    <w:p w14:paraId="1F9B5489">
      <w:pPr>
        <w:pStyle w:val="23"/>
        <w:spacing w:after="60"/>
        <w:ind w:left="317"/>
        <w:rPr>
          <w:rFonts w:hint="eastAsia"/>
        </w:rPr>
      </w:pPr>
      <w:r>
        <w:rPr>
          <w:b/>
        </w:rPr>
        <w:t xml:space="preserve">Coordination gaps — </w:t>
      </w:r>
      <w:r>
        <w:t>Local coordination and information-sharing need to be strengthened across government, civil society and humanitarian actors.</w:t>
      </w:r>
    </w:p>
    <w:p w14:paraId="0F9115F8">
      <w:pPr>
        <w:pStyle w:val="23"/>
        <w:spacing w:after="60"/>
        <w:ind w:left="317"/>
        <w:rPr>
          <w:rFonts w:hint="eastAsia"/>
        </w:rPr>
      </w:pPr>
      <w:r>
        <w:rPr>
          <w:b/>
        </w:rPr>
        <w:t xml:space="preserve">Assistance mapping — </w:t>
      </w:r>
      <w:r>
        <w:t>A consolidated picture is needed of which organization is providing what support, to how many families, where and through which mechanism.</w:t>
      </w:r>
    </w:p>
    <w:p w14:paraId="0F2E6150">
      <w:pPr>
        <w:pStyle w:val="23"/>
        <w:spacing w:after="60"/>
        <w:ind w:left="317"/>
        <w:rPr>
          <w:rFonts w:hint="eastAsia"/>
        </w:rPr>
      </w:pPr>
      <w:r>
        <w:rPr>
          <w:b/>
        </w:rPr>
        <w:t xml:space="preserve">Standards in practice — </w:t>
      </w:r>
      <w:r>
        <w:t>Organizations need stronger knowledge and practical capacity to apply Sphere Standards and CHS consistently.</w:t>
      </w:r>
    </w:p>
    <w:p w14:paraId="491CD0D2">
      <w:pPr>
        <w:pStyle w:val="23"/>
        <w:spacing w:after="60"/>
        <w:ind w:left="317"/>
        <w:rPr>
          <w:rFonts w:hint="eastAsia"/>
        </w:rPr>
      </w:pPr>
      <w:r>
        <w:rPr>
          <w:b/>
        </w:rPr>
        <w:t xml:space="preserve">Data and evidence — </w:t>
      </w:r>
      <w:r>
        <w:t>Reliable data on displaced families and response coverage needs to be collected, maintained and shared.</w:t>
      </w:r>
    </w:p>
    <w:p w14:paraId="53615BE3">
      <w:pPr>
        <w:pStyle w:val="23"/>
        <w:spacing w:after="60"/>
        <w:ind w:left="317"/>
        <w:rPr>
          <w:rFonts w:hint="eastAsia"/>
        </w:rPr>
      </w:pPr>
      <w:r>
        <w:rPr>
          <w:b/>
        </w:rPr>
        <w:t xml:space="preserve">Protection and inclusion — </w:t>
      </w:r>
      <w:r>
        <w:t>Older persons, pregnant and postpartum women, women, children and other vulnerable groups require deliberate attention.</w:t>
      </w:r>
    </w:p>
    <w:p w14:paraId="6DB473F2">
      <w:pPr>
        <w:pStyle w:val="23"/>
        <w:spacing w:after="60"/>
        <w:ind w:left="317"/>
        <w:rPr>
          <w:rFonts w:hint="eastAsia"/>
        </w:rPr>
      </w:pPr>
      <w:r>
        <w:rPr>
          <w:b/>
        </w:rPr>
        <w:t xml:space="preserve">Holding-centre conditions — </w:t>
      </w:r>
      <w:r>
        <w:t>The shortage of toilets at holding centres was highlighted as a dignity, health and protection concern.</w:t>
      </w:r>
    </w:p>
    <w:p w14:paraId="414789BA">
      <w:pPr>
        <w:pStyle w:val="23"/>
        <w:numPr>
          <w:ilvl w:val="0"/>
          <w:numId w:val="0"/>
        </w:numPr>
        <w:spacing w:after="60"/>
        <w:ind w:left="317"/>
        <w:rPr>
          <w:rFonts w:hint="eastAsia"/>
        </w:rPr>
      </w:pPr>
    </w:p>
    <w:p w14:paraId="00E1640C">
      <w:pPr>
        <w:spacing w:after="40"/>
        <w:jc w:val="center"/>
        <w:rPr>
          <w:rFonts w:hint="eastAsia"/>
        </w:rPr>
      </w:pPr>
      <w:r>
        <w:rPr>
          <w:lang w:bidi="ne-NP"/>
        </w:rPr>
        <w:drawing>
          <wp:inline distT="0" distB="0" distL="0" distR="0">
            <wp:extent cx="6017260" cy="3480435"/>
            <wp:effectExtent l="0" t="0" r="254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1"/>
                    <a:stretch>
                      <a:fillRect/>
                    </a:stretch>
                  </pic:blipFill>
                  <pic:spPr>
                    <a:xfrm>
                      <a:off x="0" y="0"/>
                      <a:ext cx="6026416" cy="3485869"/>
                    </a:xfrm>
                    <a:prstGeom prst="rect">
                      <a:avLst/>
                    </a:prstGeom>
                  </pic:spPr>
                </pic:pic>
              </a:graphicData>
            </a:graphic>
          </wp:inline>
        </w:drawing>
      </w:r>
    </w:p>
    <w:p w14:paraId="1D37495F">
      <w:pPr>
        <w:spacing w:after="120"/>
        <w:jc w:val="center"/>
        <w:rPr>
          <w:rFonts w:hint="eastAsia"/>
          <w:i/>
          <w:color w:val="585858"/>
          <w:szCs w:val="28"/>
        </w:rPr>
      </w:pPr>
      <w:r>
        <w:rPr>
          <w:b/>
          <w:bCs/>
          <w:i/>
          <w:color w:val="585858"/>
          <w:szCs w:val="28"/>
        </w:rPr>
        <w:t>Figure 2. Participants reviewing humanitarian response experiences, information gaps and coordination priorities</w:t>
      </w:r>
      <w:r>
        <w:rPr>
          <w:i/>
          <w:color w:val="585858"/>
          <w:szCs w:val="28"/>
        </w:rPr>
        <w:t>.</w:t>
      </w:r>
    </w:p>
    <w:p w14:paraId="2DA7E48C">
      <w:pPr>
        <w:rPr>
          <w:rFonts w:hint="eastAsia" w:ascii="Aptos Display" w:hAnsi="Aptos Display"/>
          <w:b/>
          <w:color w:val="2E6EA0"/>
          <w:sz w:val="34"/>
        </w:rPr>
      </w:pPr>
    </w:p>
    <w:p w14:paraId="5C877D66">
      <w:pPr>
        <w:rPr>
          <w:rFonts w:hint="eastAsia" w:ascii="Aptos Display" w:hAnsi="Aptos Display"/>
          <w:b/>
          <w:color w:val="2E6EA0"/>
          <w:sz w:val="34"/>
        </w:rPr>
      </w:pPr>
      <w:r>
        <w:rPr>
          <w:rFonts w:ascii="Aptos Display" w:hAnsi="Aptos Display"/>
          <w:b/>
          <w:color w:val="2E6EA0"/>
          <w:sz w:val="34"/>
        </w:rPr>
        <w:t>4. Quality, Accountability and Dignity Must Be Visible</w:t>
      </w:r>
    </w:p>
    <w:p w14:paraId="5C52D6C6">
      <w:pPr>
        <w:rPr>
          <w:rFonts w:hint="eastAsia"/>
        </w:rPr>
      </w:pPr>
    </w:p>
    <w:tbl>
      <w:tblPr>
        <w:tblStyle w:val="12"/>
        <w:tblW w:w="0" w:type="auto"/>
        <w:jc w:val="center"/>
        <w:tblLayout w:type="autofit"/>
        <w:tblCellMar>
          <w:top w:w="0" w:type="dxa"/>
          <w:left w:w="108" w:type="dxa"/>
          <w:bottom w:w="0" w:type="dxa"/>
          <w:right w:w="108" w:type="dxa"/>
        </w:tblCellMar>
      </w:tblPr>
      <w:tblGrid>
        <w:gridCol w:w="9835"/>
      </w:tblGrid>
      <w:tr w14:paraId="20457519">
        <w:trPr>
          <w:trHeight w:val="993" w:hRule="atLeast"/>
          <w:jc w:val="center"/>
        </w:trPr>
        <w:tc>
          <w:tcPr>
            <w:tcW w:w="9835" w:type="dxa"/>
            <w:shd w:val="clear" w:color="auto" w:fill="F2F6F9"/>
          </w:tcPr>
          <w:p w14:paraId="0A17E206">
            <w:pPr>
              <w:jc w:val="both"/>
              <w:rPr>
                <w:rFonts w:hint="eastAsia"/>
              </w:rPr>
            </w:pPr>
            <w:r>
              <w:rPr>
                <w:i/>
                <w:color w:val="2E6EA0"/>
                <w:sz w:val="22"/>
              </w:rPr>
              <w:t>“The continuing gaps in information, coordination and knowledge management are deeply concerning for effective relief and recovery. Equally important is ensuring that the voices and specific needs of survivors—particularly senior citizens and other vulnerable groups—are not lost in the response.”</w:t>
            </w:r>
          </w:p>
          <w:p w14:paraId="52847D49">
            <w:pPr>
              <w:jc w:val="right"/>
              <w:rPr>
                <w:rFonts w:hint="eastAsia"/>
              </w:rPr>
            </w:pPr>
            <w:r>
              <w:rPr>
                <w:b/>
                <w:color w:val="585858"/>
                <w:sz w:val="18"/>
              </w:rPr>
              <w:t>— Mr. Rohit Kumar Yadav, Advisor to DiMaNN</w:t>
            </w:r>
          </w:p>
        </w:tc>
      </w:tr>
    </w:tbl>
    <w:p w14:paraId="140AED41">
      <w:pPr>
        <w:spacing w:after="0"/>
        <w:rPr>
          <w:rFonts w:hint="eastAsia" w:ascii="Aptos Display" w:hAnsi="Aptos Display"/>
          <w:b/>
          <w:color w:val="2E6EA0"/>
          <w:sz w:val="25"/>
        </w:rPr>
      </w:pPr>
    </w:p>
    <w:p w14:paraId="1EB5008C">
      <w:pPr>
        <w:spacing w:after="0"/>
        <w:rPr>
          <w:rFonts w:hint="eastAsia"/>
        </w:rPr>
      </w:pPr>
      <w:r>
        <w:rPr>
          <w:rFonts w:ascii="Aptos Display" w:hAnsi="Aptos Display"/>
          <w:b/>
          <w:color w:val="2E6EA0"/>
          <w:sz w:val="25"/>
        </w:rPr>
        <w:t>Sphere Standards and CHS: from knowledge to practice</w:t>
      </w:r>
    </w:p>
    <w:p w14:paraId="5F91507B">
      <w:pPr>
        <w:spacing w:after="0"/>
        <w:rPr>
          <w:rFonts w:hint="eastAsia"/>
        </w:rPr>
      </w:pPr>
    </w:p>
    <w:p w14:paraId="6DAD7759">
      <w:pPr>
        <w:spacing w:after="0"/>
        <w:rPr>
          <w:rFonts w:hint="eastAsia"/>
        </w:rPr>
      </w:pPr>
      <w:r>
        <w:t>The dialogue emphasized that humanitarian standards are meaningful when they are understood, applied and monitored in actual relief operations. Participants called for stronger orientation and capacity-building, assessment of implementation challenges, and monitoring of relief distribution and other humanitarian action.</w:t>
      </w:r>
    </w:p>
    <w:p w14:paraId="2F4E8891">
      <w:pPr>
        <w:spacing w:after="0"/>
        <w:rPr>
          <w:rFonts w:hint="eastAsia"/>
        </w:rPr>
      </w:pPr>
    </w:p>
    <w:p w14:paraId="3D93EBC1">
      <w:pPr>
        <w:pStyle w:val="23"/>
        <w:spacing w:after="0"/>
        <w:ind w:left="317"/>
        <w:rPr>
          <w:rFonts w:hint="eastAsia"/>
        </w:rPr>
      </w:pPr>
      <w:r>
        <w:t>Protect the dignity, safety and self-respect of affected people.</w:t>
      </w:r>
    </w:p>
    <w:p w14:paraId="2B3E3610">
      <w:pPr>
        <w:pStyle w:val="23"/>
        <w:shd w:val="clear" w:color="auto" w:fill="DBE5F1" w:themeFill="accent1" w:themeFillTint="33"/>
        <w:spacing w:after="0"/>
        <w:ind w:left="317"/>
        <w:rPr>
          <w:rFonts w:hint="eastAsia"/>
          <w:b/>
          <w:bCs/>
        </w:rPr>
      </w:pPr>
      <w:r>
        <w:t xml:space="preserve">Apply humanitarian standards consistently while adapting them appropriately to Nepal’s context. </w:t>
      </w:r>
      <w:r>
        <w:rPr>
          <w:b/>
          <w:bCs/>
        </w:rPr>
        <w:t>Mr. Surya Narayn Shrestha – Advisor of DiMaNN</w:t>
      </w:r>
    </w:p>
    <w:p w14:paraId="429E89C9">
      <w:pPr>
        <w:pStyle w:val="23"/>
        <w:spacing w:after="0"/>
        <w:ind w:left="317"/>
        <w:rPr>
          <w:rFonts w:hint="eastAsia"/>
        </w:rPr>
      </w:pPr>
      <w:r>
        <w:t>Strengthen safeguarding and ethical conduct across organizations and delivery mechanisms.</w:t>
      </w:r>
    </w:p>
    <w:p w14:paraId="18E0A32E">
      <w:pPr>
        <w:pStyle w:val="23"/>
        <w:spacing w:after="0"/>
        <w:ind w:left="317"/>
      </w:pPr>
      <w:r>
        <w:t>Use monitoring, feedback and evidence to improve assistance during relief and recovery.</w:t>
      </w:r>
    </w:p>
    <w:p w14:paraId="3F015BED">
      <w:pPr>
        <w:pStyle w:val="23"/>
        <w:shd w:val="clear" w:color="auto" w:fill="DBE5F1" w:themeFill="accent1" w:themeFillTint="33"/>
        <w:spacing w:after="0"/>
        <w:ind w:left="317"/>
        <w:rPr>
          <w:rFonts w:hint="eastAsia"/>
        </w:rPr>
      </w:pPr>
      <w:r>
        <w:t xml:space="preserve">During a disaster, collective action matters most. People affected by the crisis need relief, support and solidarity—not questions.” Mr. Gobinda Bdr Sahi </w:t>
      </w:r>
    </w:p>
    <w:p w14:paraId="67FF52A8">
      <w:pPr>
        <w:pStyle w:val="23"/>
        <w:numPr>
          <w:ilvl w:val="0"/>
          <w:numId w:val="0"/>
        </w:numPr>
        <w:spacing w:after="0"/>
        <w:ind w:left="317"/>
      </w:pPr>
    </w:p>
    <w:p w14:paraId="5652AC05">
      <w:pPr>
        <w:pStyle w:val="23"/>
        <w:shd w:val="clear" w:color="auto" w:fill="DBE5F1" w:themeFill="accent1" w:themeFillTint="33"/>
        <w:spacing w:after="0"/>
        <w:ind w:left="317"/>
        <w:jc w:val="both"/>
        <w:rPr>
          <w:rFonts w:hint="eastAsia"/>
        </w:rPr>
      </w:pPr>
      <w:r>
        <w:t xml:space="preserve">Greater attention should be given to preserving the dignity, safety and self-respect of survivors throughout the response and recovery process – Netra ………………………………… </w:t>
      </w:r>
    </w:p>
    <w:p w14:paraId="37A920CB">
      <w:pPr>
        <w:spacing w:after="40"/>
        <w:jc w:val="center"/>
        <w:rPr>
          <w:rFonts w:hint="eastAsia"/>
        </w:rPr>
      </w:pPr>
      <w:r>
        <w:rPr>
          <w:lang w:bidi="ne-NP"/>
        </w:rPr>
        <w:drawing>
          <wp:inline distT="0" distB="0" distL="0" distR="0">
            <wp:extent cx="5989320" cy="416687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2"/>
                    <a:stretch>
                      <a:fillRect/>
                    </a:stretch>
                  </pic:blipFill>
                  <pic:spPr>
                    <a:xfrm>
                      <a:off x="0" y="0"/>
                      <a:ext cx="5989320" cy="4167358"/>
                    </a:xfrm>
                    <a:prstGeom prst="rect">
                      <a:avLst/>
                    </a:prstGeom>
                  </pic:spPr>
                </pic:pic>
              </a:graphicData>
            </a:graphic>
          </wp:inline>
        </w:drawing>
      </w:r>
    </w:p>
    <w:p w14:paraId="603D5F5F">
      <w:pPr>
        <w:spacing w:after="120"/>
        <w:jc w:val="center"/>
        <w:rPr>
          <w:rFonts w:hint="eastAsia"/>
          <w:b/>
          <w:bCs/>
          <w:sz w:val="24"/>
          <w:szCs w:val="28"/>
        </w:rPr>
      </w:pPr>
      <w:r>
        <w:rPr>
          <w:b/>
          <w:bCs/>
          <w:i/>
          <w:color w:val="585858"/>
          <w:szCs w:val="28"/>
        </w:rPr>
        <w:t>Figure 3. Dialogue participants discussing humanitarian standards, protection, accountability and ethical conduct.</w:t>
      </w:r>
    </w:p>
    <w:p w14:paraId="500B8AAF">
      <w:pPr>
        <w:spacing w:after="0"/>
        <w:rPr>
          <w:rFonts w:hint="eastAsia" w:ascii="Aptos Display" w:hAnsi="Aptos Display"/>
          <w:b/>
          <w:color w:val="2E6EA0"/>
          <w:sz w:val="29"/>
          <w:szCs w:val="28"/>
        </w:rPr>
      </w:pPr>
    </w:p>
    <w:p w14:paraId="27F21C11">
      <w:pPr>
        <w:spacing w:after="0"/>
        <w:rPr>
          <w:rFonts w:hint="eastAsia"/>
          <w:sz w:val="24"/>
          <w:szCs w:val="28"/>
        </w:rPr>
      </w:pPr>
      <w:r>
        <w:rPr>
          <w:rFonts w:ascii="Aptos Display" w:hAnsi="Aptos Display"/>
          <w:b/>
          <w:color w:val="2E6EA0"/>
          <w:sz w:val="29"/>
          <w:szCs w:val="28"/>
        </w:rPr>
        <w:t>Equity is a response principle</w:t>
      </w:r>
    </w:p>
    <w:p w14:paraId="2002DC89">
      <w:pPr>
        <w:spacing w:after="0"/>
        <w:jc w:val="both"/>
        <w:rPr>
          <w:rFonts w:hint="eastAsia"/>
          <w:sz w:val="24"/>
          <w:szCs w:val="28"/>
        </w:rPr>
      </w:pPr>
    </w:p>
    <w:p w14:paraId="70408DC6">
      <w:pPr>
        <w:shd w:val="clear" w:color="auto" w:fill="DBE5F1" w:themeFill="accent1" w:themeFillTint="33"/>
        <w:spacing w:after="0"/>
        <w:jc w:val="both"/>
        <w:rPr>
          <w:rFonts w:hint="eastAsia"/>
          <w:sz w:val="24"/>
          <w:szCs w:val="28"/>
        </w:rPr>
      </w:pPr>
      <w:r>
        <w:rPr>
          <w:sz w:val="24"/>
          <w:szCs w:val="28"/>
        </w:rPr>
        <w:t>Equitable resource allocation and inclusion should remain priorities throughout rescue, relief, recovery, rehabilitation and reconstruction Mr Surya Bahadur Thapa – Chair Person of DiMaNN</w:t>
      </w:r>
    </w:p>
    <w:p w14:paraId="43FF318A">
      <w:pPr>
        <w:spacing w:after="0"/>
        <w:jc w:val="both"/>
        <w:rPr>
          <w:rFonts w:hint="eastAsia"/>
          <w:sz w:val="24"/>
          <w:szCs w:val="28"/>
        </w:rPr>
      </w:pPr>
    </w:p>
    <w:p w14:paraId="703552BD">
      <w:pPr>
        <w:spacing w:after="0"/>
        <w:jc w:val="both"/>
        <w:rPr>
          <w:rFonts w:hint="eastAsia"/>
          <w:sz w:val="24"/>
          <w:szCs w:val="28"/>
        </w:rPr>
      </w:pPr>
      <w:r>
        <w:rPr>
          <w:rFonts w:ascii="Aptos Display" w:hAnsi="Aptos Display"/>
          <w:b/>
          <w:color w:val="2E6EA0"/>
          <w:sz w:val="38"/>
          <w:szCs w:val="28"/>
        </w:rPr>
        <w:t>5. Stakeholder Convergence Framework</w:t>
      </w:r>
    </w:p>
    <w:p w14:paraId="5060A970">
      <w:pPr>
        <w:spacing w:after="0"/>
        <w:jc w:val="both"/>
        <w:rPr>
          <w:rFonts w:hint="eastAsia"/>
          <w:sz w:val="24"/>
          <w:szCs w:val="28"/>
        </w:rPr>
      </w:pPr>
    </w:p>
    <w:p w14:paraId="18498CCF">
      <w:pPr>
        <w:spacing w:after="0"/>
        <w:jc w:val="both"/>
        <w:rPr>
          <w:rFonts w:hint="eastAsia"/>
          <w:sz w:val="24"/>
          <w:szCs w:val="28"/>
        </w:rPr>
      </w:pPr>
      <w:r>
        <w:rPr>
          <w:sz w:val="24"/>
          <w:szCs w:val="28"/>
        </w:rPr>
        <w:t>The dialogue points to a shared framework in which different stakeholders contribute their distinct mandates, resources, knowledge and networks while working from a common information and accountability base.</w:t>
      </w:r>
    </w:p>
    <w:p w14:paraId="323D1BAE">
      <w:pPr>
        <w:spacing w:after="0"/>
        <w:jc w:val="both"/>
        <w:rPr>
          <w:rFonts w:hint="eastAsia"/>
          <w:sz w:val="24"/>
          <w:szCs w:val="28"/>
        </w:rPr>
      </w:pPr>
    </w:p>
    <w:tbl>
      <w:tblPr>
        <w:tblStyle w:val="12"/>
        <w:tblW w:w="0" w:type="auto"/>
        <w:jc w:val="center"/>
        <w:tblLayout w:type="autofit"/>
        <w:tblCellMar>
          <w:top w:w="0" w:type="dxa"/>
          <w:left w:w="108" w:type="dxa"/>
          <w:bottom w:w="0" w:type="dxa"/>
          <w:right w:w="108" w:type="dxa"/>
        </w:tblCellMar>
      </w:tblPr>
      <w:tblGrid>
        <w:gridCol w:w="3145"/>
        <w:gridCol w:w="6680"/>
      </w:tblGrid>
      <w:tr w14:paraId="41035F9F">
        <w:trPr>
          <w:jc w:val="center"/>
        </w:trPr>
        <w:tc>
          <w:tcPr>
            <w:tcW w:w="3145" w:type="dxa"/>
            <w:tcBorders>
              <w:top w:val="single" w:color="B8C7D3" w:sz="4" w:space="0"/>
              <w:left w:val="single" w:color="B8C7D3" w:sz="4" w:space="0"/>
              <w:bottom w:val="single" w:color="B8C7D3" w:sz="4" w:space="0"/>
              <w:right w:val="single" w:color="B8C7D3" w:sz="4" w:space="0"/>
            </w:tcBorders>
            <w:shd w:val="clear" w:color="auto" w:fill="DCEAF5"/>
            <w:vAlign w:val="center"/>
          </w:tcPr>
          <w:p w14:paraId="6134C620">
            <w:pPr>
              <w:spacing w:after="0"/>
              <w:rPr>
                <w:rFonts w:hint="eastAsia"/>
                <w:sz w:val="24"/>
                <w:szCs w:val="28"/>
              </w:rPr>
            </w:pPr>
            <w:r>
              <w:rPr>
                <w:b/>
                <w:color w:val="2E6EA0"/>
                <w:sz w:val="22"/>
                <w:szCs w:val="28"/>
              </w:rPr>
              <w:t>Stakeholder group</w:t>
            </w:r>
          </w:p>
        </w:tc>
        <w:tc>
          <w:tcPr>
            <w:tcW w:w="6680" w:type="dxa"/>
            <w:tcBorders>
              <w:top w:val="single" w:color="B8C7D3" w:sz="4" w:space="0"/>
              <w:left w:val="single" w:color="B8C7D3" w:sz="4" w:space="0"/>
              <w:bottom w:val="single" w:color="B8C7D3" w:sz="4" w:space="0"/>
              <w:right w:val="single" w:color="B8C7D3" w:sz="4" w:space="0"/>
            </w:tcBorders>
            <w:shd w:val="clear" w:color="auto" w:fill="DCEAF5"/>
            <w:vAlign w:val="center"/>
          </w:tcPr>
          <w:p w14:paraId="69C3EF3D">
            <w:pPr>
              <w:spacing w:after="0"/>
              <w:rPr>
                <w:rFonts w:hint="eastAsia"/>
                <w:sz w:val="24"/>
                <w:szCs w:val="28"/>
              </w:rPr>
            </w:pPr>
            <w:r>
              <w:rPr>
                <w:b/>
                <w:color w:val="2E6EA0"/>
                <w:sz w:val="22"/>
                <w:szCs w:val="28"/>
              </w:rPr>
              <w:t>Priority contribution</w:t>
            </w:r>
          </w:p>
        </w:tc>
      </w:tr>
      <w:tr w14:paraId="2C7B54CF">
        <w:trPr>
          <w:jc w:val="center"/>
        </w:trPr>
        <w:tc>
          <w:tcPr>
            <w:tcW w:w="3145" w:type="dxa"/>
            <w:tcBorders>
              <w:top w:val="single" w:color="B8C7D3" w:sz="4" w:space="0"/>
              <w:left w:val="single" w:color="B8C7D3" w:sz="4" w:space="0"/>
              <w:bottom w:val="single" w:color="B8C7D3" w:sz="4" w:space="0"/>
              <w:right w:val="single" w:color="B8C7D3" w:sz="4" w:space="0"/>
            </w:tcBorders>
            <w:shd w:val="clear" w:color="auto" w:fill="FFFFFF"/>
            <w:vAlign w:val="center"/>
          </w:tcPr>
          <w:p w14:paraId="564D19DB">
            <w:pPr>
              <w:spacing w:after="0"/>
              <w:rPr>
                <w:rFonts w:hint="eastAsia"/>
                <w:sz w:val="24"/>
                <w:szCs w:val="28"/>
              </w:rPr>
            </w:pPr>
            <w:r>
              <w:rPr>
                <w:b/>
                <w:color w:val="2E6EA0"/>
                <w:sz w:val="22"/>
                <w:szCs w:val="28"/>
              </w:rPr>
              <w:t>National / provincial / local government</w:t>
            </w:r>
          </w:p>
        </w:tc>
        <w:tc>
          <w:tcPr>
            <w:tcW w:w="6680" w:type="dxa"/>
            <w:tcBorders>
              <w:top w:val="single" w:color="B8C7D3" w:sz="4" w:space="0"/>
              <w:left w:val="single" w:color="B8C7D3" w:sz="4" w:space="0"/>
              <w:bottom w:val="single" w:color="B8C7D3" w:sz="4" w:space="0"/>
              <w:right w:val="single" w:color="B8C7D3" w:sz="4" w:space="0"/>
            </w:tcBorders>
            <w:shd w:val="clear" w:color="auto" w:fill="FFFFFF"/>
            <w:vAlign w:val="center"/>
          </w:tcPr>
          <w:p w14:paraId="56219F73">
            <w:pPr>
              <w:spacing w:after="0"/>
              <w:rPr>
                <w:rFonts w:hint="eastAsia"/>
                <w:sz w:val="24"/>
                <w:szCs w:val="28"/>
              </w:rPr>
            </w:pPr>
            <w:r>
              <w:rPr>
                <w:color w:val="585858"/>
                <w:sz w:val="22"/>
                <w:szCs w:val="28"/>
              </w:rPr>
              <w:t>Leadership, coordination, clear guidance, public systems, facilitation, resource allocation and oversight.</w:t>
            </w:r>
          </w:p>
        </w:tc>
      </w:tr>
      <w:tr w14:paraId="174C1B29">
        <w:trPr>
          <w:jc w:val="center"/>
        </w:trPr>
        <w:tc>
          <w:tcPr>
            <w:tcW w:w="3145" w:type="dxa"/>
            <w:tcBorders>
              <w:top w:val="single" w:color="B8C7D3" w:sz="4" w:space="0"/>
              <w:left w:val="single" w:color="B8C7D3" w:sz="4" w:space="0"/>
              <w:bottom w:val="single" w:color="B8C7D3" w:sz="4" w:space="0"/>
              <w:right w:val="single" w:color="B8C7D3" w:sz="4" w:space="0"/>
            </w:tcBorders>
            <w:shd w:val="clear" w:color="auto" w:fill="F5F8FA"/>
            <w:vAlign w:val="center"/>
          </w:tcPr>
          <w:p w14:paraId="6EEF4B91">
            <w:pPr>
              <w:spacing w:after="0"/>
              <w:rPr>
                <w:rFonts w:hint="eastAsia"/>
                <w:sz w:val="24"/>
                <w:szCs w:val="28"/>
              </w:rPr>
            </w:pPr>
            <w:r>
              <w:rPr>
                <w:b/>
                <w:color w:val="2E6EA0"/>
                <w:sz w:val="22"/>
                <w:szCs w:val="28"/>
              </w:rPr>
              <w:t>International governments &amp; development partners</w:t>
            </w:r>
          </w:p>
        </w:tc>
        <w:tc>
          <w:tcPr>
            <w:tcW w:w="6680" w:type="dxa"/>
            <w:tcBorders>
              <w:top w:val="single" w:color="B8C7D3" w:sz="4" w:space="0"/>
              <w:left w:val="single" w:color="B8C7D3" w:sz="4" w:space="0"/>
              <w:bottom w:val="single" w:color="B8C7D3" w:sz="4" w:space="0"/>
              <w:right w:val="single" w:color="B8C7D3" w:sz="4" w:space="0"/>
            </w:tcBorders>
            <w:shd w:val="clear" w:color="auto" w:fill="F5F8FA"/>
            <w:vAlign w:val="center"/>
          </w:tcPr>
          <w:p w14:paraId="29C6C233">
            <w:pPr>
              <w:spacing w:after="0"/>
              <w:rPr>
                <w:rFonts w:hint="eastAsia"/>
                <w:sz w:val="24"/>
                <w:szCs w:val="28"/>
              </w:rPr>
            </w:pPr>
            <w:r>
              <w:rPr>
                <w:color w:val="585858"/>
                <w:sz w:val="22"/>
                <w:szCs w:val="28"/>
              </w:rPr>
              <w:t>Financial and technical support aligned with identified needs and national/local priorities.</w:t>
            </w:r>
          </w:p>
        </w:tc>
      </w:tr>
      <w:tr w14:paraId="47D8AFED">
        <w:trPr>
          <w:jc w:val="center"/>
        </w:trPr>
        <w:tc>
          <w:tcPr>
            <w:tcW w:w="3145" w:type="dxa"/>
            <w:tcBorders>
              <w:top w:val="single" w:color="B8C7D3" w:sz="4" w:space="0"/>
              <w:left w:val="single" w:color="B8C7D3" w:sz="4" w:space="0"/>
              <w:bottom w:val="single" w:color="B8C7D3" w:sz="4" w:space="0"/>
              <w:right w:val="single" w:color="B8C7D3" w:sz="4" w:space="0"/>
            </w:tcBorders>
            <w:shd w:val="clear" w:color="auto" w:fill="FFFFFF"/>
            <w:vAlign w:val="center"/>
          </w:tcPr>
          <w:p w14:paraId="518F8812">
            <w:pPr>
              <w:spacing w:after="0"/>
              <w:rPr>
                <w:rFonts w:hint="eastAsia"/>
                <w:sz w:val="24"/>
                <w:szCs w:val="28"/>
              </w:rPr>
            </w:pPr>
            <w:r>
              <w:rPr>
                <w:b/>
                <w:color w:val="2E6EA0"/>
                <w:sz w:val="22"/>
                <w:szCs w:val="28"/>
              </w:rPr>
              <w:t>NGOs / INGOs / humanitarian organizations</w:t>
            </w:r>
          </w:p>
        </w:tc>
        <w:tc>
          <w:tcPr>
            <w:tcW w:w="6680" w:type="dxa"/>
            <w:tcBorders>
              <w:top w:val="single" w:color="B8C7D3" w:sz="4" w:space="0"/>
              <w:left w:val="single" w:color="B8C7D3" w:sz="4" w:space="0"/>
              <w:bottom w:val="single" w:color="B8C7D3" w:sz="4" w:space="0"/>
              <w:right w:val="single" w:color="B8C7D3" w:sz="4" w:space="0"/>
            </w:tcBorders>
            <w:shd w:val="clear" w:color="auto" w:fill="FFFFFF"/>
            <w:vAlign w:val="center"/>
          </w:tcPr>
          <w:p w14:paraId="77336F3C">
            <w:pPr>
              <w:spacing w:after="0"/>
              <w:rPr>
                <w:rFonts w:hint="eastAsia"/>
                <w:sz w:val="24"/>
                <w:szCs w:val="28"/>
              </w:rPr>
            </w:pPr>
            <w:r>
              <w:rPr>
                <w:color w:val="585858"/>
                <w:sz w:val="22"/>
                <w:szCs w:val="28"/>
              </w:rPr>
              <w:t>Timely assistance, quality standards, protection, accountability, documentation and coordinated field delivery.</w:t>
            </w:r>
          </w:p>
        </w:tc>
      </w:tr>
      <w:tr w14:paraId="27BF89A8">
        <w:trPr>
          <w:jc w:val="center"/>
        </w:trPr>
        <w:tc>
          <w:tcPr>
            <w:tcW w:w="3145" w:type="dxa"/>
            <w:tcBorders>
              <w:top w:val="single" w:color="B8C7D3" w:sz="4" w:space="0"/>
              <w:left w:val="single" w:color="B8C7D3" w:sz="4" w:space="0"/>
              <w:bottom w:val="single" w:color="B8C7D3" w:sz="4" w:space="0"/>
              <w:right w:val="single" w:color="B8C7D3" w:sz="4" w:space="0"/>
            </w:tcBorders>
            <w:shd w:val="clear" w:color="auto" w:fill="F5F8FA"/>
            <w:vAlign w:val="center"/>
          </w:tcPr>
          <w:p w14:paraId="1F3F4C2C">
            <w:pPr>
              <w:spacing w:after="0"/>
              <w:rPr>
                <w:rFonts w:hint="eastAsia"/>
                <w:sz w:val="24"/>
                <w:szCs w:val="28"/>
              </w:rPr>
            </w:pPr>
            <w:r>
              <w:rPr>
                <w:b/>
                <w:color w:val="2E6EA0"/>
                <w:sz w:val="22"/>
                <w:szCs w:val="28"/>
              </w:rPr>
              <w:t>Donors &amp; wider humanitarian actors</w:t>
            </w:r>
          </w:p>
        </w:tc>
        <w:tc>
          <w:tcPr>
            <w:tcW w:w="6680" w:type="dxa"/>
            <w:tcBorders>
              <w:top w:val="single" w:color="B8C7D3" w:sz="4" w:space="0"/>
              <w:left w:val="single" w:color="B8C7D3" w:sz="4" w:space="0"/>
              <w:bottom w:val="single" w:color="B8C7D3" w:sz="4" w:space="0"/>
              <w:right w:val="single" w:color="B8C7D3" w:sz="4" w:space="0"/>
            </w:tcBorders>
            <w:shd w:val="clear" w:color="auto" w:fill="F5F8FA"/>
            <w:vAlign w:val="center"/>
          </w:tcPr>
          <w:p w14:paraId="6C04B440">
            <w:pPr>
              <w:spacing w:after="0"/>
              <w:rPr>
                <w:rFonts w:hint="eastAsia"/>
                <w:sz w:val="24"/>
                <w:szCs w:val="28"/>
              </w:rPr>
            </w:pPr>
            <w:r>
              <w:rPr>
                <w:color w:val="585858"/>
                <w:sz w:val="22"/>
                <w:szCs w:val="28"/>
              </w:rPr>
              <w:t>Flexible and sustained resources for relief, recovery, rehabilitation and reconstruction, with support for local systems.</w:t>
            </w:r>
          </w:p>
        </w:tc>
      </w:tr>
      <w:tr w14:paraId="61311864">
        <w:trPr>
          <w:jc w:val="center"/>
        </w:trPr>
        <w:tc>
          <w:tcPr>
            <w:tcW w:w="3145" w:type="dxa"/>
            <w:tcBorders>
              <w:top w:val="single" w:color="B8C7D3" w:sz="4" w:space="0"/>
              <w:left w:val="single" w:color="B8C7D3" w:sz="4" w:space="0"/>
              <w:bottom w:val="single" w:color="B8C7D3" w:sz="4" w:space="0"/>
              <w:right w:val="single" w:color="B8C7D3" w:sz="4" w:space="0"/>
            </w:tcBorders>
            <w:shd w:val="clear" w:color="auto" w:fill="FFFFFF"/>
            <w:vAlign w:val="center"/>
          </w:tcPr>
          <w:p w14:paraId="1799F83F">
            <w:pPr>
              <w:spacing w:after="0"/>
              <w:rPr>
                <w:rFonts w:hint="eastAsia"/>
                <w:sz w:val="24"/>
                <w:szCs w:val="28"/>
              </w:rPr>
            </w:pPr>
            <w:r>
              <w:rPr>
                <w:b/>
                <w:color w:val="2E6EA0"/>
                <w:sz w:val="22"/>
                <w:szCs w:val="28"/>
              </w:rPr>
              <w:t>Academia / researchers / knowledge institutions</w:t>
            </w:r>
          </w:p>
        </w:tc>
        <w:tc>
          <w:tcPr>
            <w:tcW w:w="6680" w:type="dxa"/>
            <w:tcBorders>
              <w:top w:val="single" w:color="B8C7D3" w:sz="4" w:space="0"/>
              <w:left w:val="single" w:color="B8C7D3" w:sz="4" w:space="0"/>
              <w:bottom w:val="single" w:color="B8C7D3" w:sz="4" w:space="0"/>
              <w:right w:val="single" w:color="B8C7D3" w:sz="4" w:space="0"/>
            </w:tcBorders>
            <w:shd w:val="clear" w:color="auto" w:fill="FFFFFF"/>
            <w:vAlign w:val="center"/>
          </w:tcPr>
          <w:p w14:paraId="1F225F58">
            <w:pPr>
              <w:spacing w:after="0"/>
              <w:rPr>
                <w:rFonts w:hint="eastAsia"/>
                <w:sz w:val="24"/>
                <w:szCs w:val="28"/>
              </w:rPr>
            </w:pPr>
            <w:r>
              <w:rPr>
                <w:color w:val="585858"/>
                <w:sz w:val="22"/>
                <w:szCs w:val="28"/>
              </w:rPr>
              <w:t>Evidence, assessments, documentation, learning, standards research, data systems and capacity development.</w:t>
            </w:r>
          </w:p>
        </w:tc>
      </w:tr>
    </w:tbl>
    <w:p w14:paraId="620A00B1">
      <w:pPr>
        <w:spacing w:before="100" w:after="80"/>
        <w:rPr>
          <w:rFonts w:hint="eastAsia" w:ascii="Aptos Display" w:hAnsi="Aptos Display"/>
          <w:b/>
          <w:color w:val="2E6EA0"/>
          <w:sz w:val="25"/>
        </w:rPr>
      </w:pPr>
    </w:p>
    <w:p w14:paraId="7CCE8A85">
      <w:pPr>
        <w:spacing w:before="100" w:after="80"/>
        <w:rPr>
          <w:rFonts w:hint="eastAsia" w:ascii="Aptos Display" w:hAnsi="Aptos Display"/>
          <w:b/>
          <w:color w:val="2E6EA0"/>
          <w:sz w:val="25"/>
        </w:rPr>
      </w:pPr>
    </w:p>
    <w:p w14:paraId="6AD22FFC">
      <w:pPr>
        <w:spacing w:before="100" w:after="80"/>
        <w:rPr>
          <w:rFonts w:hint="eastAsia" w:ascii="Aptos Display" w:hAnsi="Aptos Display"/>
          <w:b/>
          <w:color w:val="2E6EA0"/>
          <w:sz w:val="25"/>
        </w:rPr>
      </w:pPr>
      <w:r>
        <w:rPr>
          <w:rFonts w:ascii="Aptos Display" w:hAnsi="Aptos Display"/>
          <w:b/>
          <w:color w:val="2E6EA0"/>
          <w:sz w:val="25"/>
        </w:rPr>
        <w:t>The role of civil society organizations</w:t>
      </w:r>
    </w:p>
    <w:p w14:paraId="249C9A61">
      <w:pPr>
        <w:pStyle w:val="23"/>
        <w:spacing w:after="60"/>
        <w:ind w:left="317"/>
        <w:rPr>
          <w:rFonts w:hint="eastAsia"/>
        </w:rPr>
      </w:pPr>
      <w:r>
        <w:t>Serve as partners to government, providers of constructive feedback and channels for community voices.</w:t>
      </w:r>
    </w:p>
    <w:p w14:paraId="231DBAE7">
      <w:pPr>
        <w:pStyle w:val="23"/>
        <w:spacing w:after="60"/>
        <w:ind w:left="317"/>
        <w:rPr>
          <w:rFonts w:hint="eastAsia"/>
        </w:rPr>
      </w:pPr>
      <w:r>
        <w:t>Contribute financial, material, technical, knowledge, skills and information support where appropriate.</w:t>
      </w:r>
    </w:p>
    <w:p w14:paraId="7D09B6F5">
      <w:pPr>
        <w:pStyle w:val="23"/>
        <w:spacing w:after="60"/>
        <w:ind w:left="317"/>
        <w:rPr>
          <w:rFonts w:hint="eastAsia"/>
        </w:rPr>
      </w:pPr>
      <w:r>
        <w:t>Maintain consolidated records of assistance and share relevant information with government and coordination mechanisms.</w:t>
      </w:r>
    </w:p>
    <w:p w14:paraId="2B2F9B3F">
      <w:pPr>
        <w:pStyle w:val="23"/>
        <w:shd w:val="clear" w:color="auto" w:fill="DBE5F1" w:themeFill="accent1" w:themeFillTint="33"/>
        <w:spacing w:after="60"/>
        <w:ind w:left="317"/>
        <w:rPr>
          <w:rFonts w:hint="eastAsia"/>
        </w:rPr>
      </w:pPr>
      <w:r>
        <w:t xml:space="preserve">Support policy dialogue, thematic groups and evidence-based recommendations. </w:t>
      </w:r>
      <w:r>
        <w:rPr>
          <w:b/>
          <w:bCs/>
        </w:rPr>
        <w:t>Mr. Arjun Bhattarai, President of the NGO Federation of Nepal</w:t>
      </w:r>
      <w:r>
        <w:t xml:space="preserve">,  </w:t>
      </w:r>
    </w:p>
    <w:p w14:paraId="6F128EB0">
      <w:pPr>
        <w:pStyle w:val="23"/>
        <w:spacing w:after="60"/>
        <w:ind w:left="317"/>
        <w:rPr>
          <w:rFonts w:hint="eastAsia"/>
        </w:rPr>
      </w:pPr>
      <w:r>
        <w:t>Prioritize qualified local people and local organizations in staffing and implementation, consistent with operational requirements.</w:t>
      </w:r>
    </w:p>
    <w:p w14:paraId="35B273C0">
      <w:pPr>
        <w:pStyle w:val="23"/>
        <w:numPr>
          <w:ilvl w:val="0"/>
          <w:numId w:val="0"/>
        </w:numPr>
        <w:spacing w:after="60"/>
        <w:ind w:left="317"/>
        <w:rPr>
          <w:rFonts w:hint="eastAsia"/>
        </w:rPr>
      </w:pPr>
    </w:p>
    <w:p w14:paraId="2F0D1F72">
      <w:pPr>
        <w:pStyle w:val="23"/>
        <w:numPr>
          <w:ilvl w:val="0"/>
          <w:numId w:val="0"/>
        </w:numPr>
        <w:spacing w:after="60"/>
        <w:ind w:left="317"/>
        <w:rPr>
          <w:rFonts w:hint="eastAsia"/>
        </w:rPr>
      </w:pPr>
    </w:p>
    <w:p w14:paraId="197B98EF">
      <w:pPr>
        <w:spacing w:after="40"/>
        <w:jc w:val="center"/>
        <w:rPr>
          <w:rFonts w:hint="eastAsia"/>
        </w:rPr>
      </w:pPr>
      <w:r>
        <w:rPr>
          <w:lang w:bidi="ne-NP"/>
        </w:rPr>
        <w:drawing>
          <wp:inline distT="0" distB="0" distL="0" distR="0">
            <wp:extent cx="6237605" cy="5745480"/>
            <wp:effectExtent l="0" t="0" r="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13"/>
                    <a:stretch>
                      <a:fillRect/>
                    </a:stretch>
                  </pic:blipFill>
                  <pic:spPr>
                    <a:xfrm>
                      <a:off x="0" y="0"/>
                      <a:ext cx="6334796" cy="5835149"/>
                    </a:xfrm>
                    <a:prstGeom prst="rect">
                      <a:avLst/>
                    </a:prstGeom>
                  </pic:spPr>
                </pic:pic>
              </a:graphicData>
            </a:graphic>
          </wp:inline>
        </w:drawing>
      </w:r>
    </w:p>
    <w:p w14:paraId="18664118">
      <w:pPr>
        <w:spacing w:after="120"/>
        <w:jc w:val="center"/>
        <w:rPr>
          <w:rFonts w:hint="eastAsia"/>
          <w:b/>
          <w:bCs/>
          <w:sz w:val="24"/>
          <w:szCs w:val="28"/>
        </w:rPr>
      </w:pPr>
      <w:r>
        <w:rPr>
          <w:b/>
          <w:bCs/>
          <w:i/>
          <w:color w:val="585858"/>
          <w:szCs w:val="28"/>
        </w:rPr>
        <w:t>Figure 4. Civil society representatives and wider stakeholders exchanging perspectives for a more coordinated response.</w:t>
      </w:r>
    </w:p>
    <w:p w14:paraId="3692C65C">
      <w:pPr>
        <w:spacing w:before="140" w:after="80"/>
        <w:rPr>
          <w:rFonts w:hint="eastAsia" w:ascii="Aptos Display" w:hAnsi="Aptos Display"/>
          <w:b/>
          <w:bCs/>
          <w:color w:val="2E6EA0"/>
          <w:sz w:val="34"/>
        </w:rPr>
      </w:pPr>
    </w:p>
    <w:p w14:paraId="51B4B58C">
      <w:pPr>
        <w:spacing w:before="140" w:after="80"/>
        <w:rPr>
          <w:rFonts w:hint="eastAsia" w:ascii="Aptos Display" w:hAnsi="Aptos Display"/>
          <w:b/>
          <w:bCs/>
          <w:color w:val="2E6EA0"/>
          <w:sz w:val="34"/>
        </w:rPr>
      </w:pPr>
    </w:p>
    <w:p w14:paraId="38594859">
      <w:pPr>
        <w:spacing w:before="140" w:after="80"/>
        <w:rPr>
          <w:rFonts w:hint="eastAsia" w:ascii="Aptos Display" w:hAnsi="Aptos Display"/>
          <w:b/>
          <w:bCs/>
          <w:color w:val="2E6EA0"/>
          <w:sz w:val="34"/>
        </w:rPr>
      </w:pPr>
    </w:p>
    <w:p w14:paraId="291F8961">
      <w:pPr>
        <w:spacing w:before="140" w:after="80"/>
        <w:rPr>
          <w:rFonts w:hint="eastAsia" w:ascii="Aptos Display" w:hAnsi="Aptos Display"/>
          <w:b/>
          <w:bCs/>
          <w:color w:val="2E6EA0"/>
          <w:sz w:val="34"/>
        </w:rPr>
      </w:pPr>
    </w:p>
    <w:p w14:paraId="6FDD288C">
      <w:pPr>
        <w:spacing w:before="140" w:after="80"/>
        <w:rPr>
          <w:rFonts w:hint="eastAsia"/>
        </w:rPr>
      </w:pPr>
      <w:r>
        <w:rPr>
          <w:rFonts w:ascii="Aptos Display" w:hAnsi="Aptos Display"/>
          <w:b/>
          <w:color w:val="2E6EA0"/>
          <w:sz w:val="34"/>
        </w:rPr>
        <w:t>6. Priority Action Agenda: From Relief to Recovery</w:t>
      </w:r>
    </w:p>
    <w:tbl>
      <w:tblPr>
        <w:tblStyle w:val="12"/>
        <w:tblW w:w="0" w:type="auto"/>
        <w:jc w:val="center"/>
        <w:tblLayout w:type="autofit"/>
        <w:tblCellMar>
          <w:top w:w="0" w:type="dxa"/>
          <w:left w:w="108" w:type="dxa"/>
          <w:bottom w:w="0" w:type="dxa"/>
          <w:right w:w="108" w:type="dxa"/>
        </w:tblCellMar>
      </w:tblPr>
      <w:tblGrid>
        <w:gridCol w:w="1164"/>
        <w:gridCol w:w="8660"/>
      </w:tblGrid>
      <w:tr w14:paraId="7213F234">
        <w:trPr>
          <w:jc w:val="center"/>
        </w:trPr>
        <w:tc>
          <w:tcPr>
            <w:tcW w:w="1164" w:type="dxa"/>
            <w:tcBorders>
              <w:top w:val="single" w:color="1F4E79" w:sz="4" w:space="0"/>
              <w:left w:val="single" w:color="1F4E79" w:sz="4" w:space="0"/>
              <w:bottom w:val="single" w:color="1F4E79" w:sz="4" w:space="0"/>
              <w:right w:val="single" w:color="1F4E79" w:sz="4" w:space="0"/>
            </w:tcBorders>
            <w:shd w:val="clear" w:color="auto" w:fill="1F4E79"/>
          </w:tcPr>
          <w:p w14:paraId="58D01957">
            <w:pPr>
              <w:jc w:val="center"/>
              <w:rPr>
                <w:rFonts w:hint="eastAsia"/>
              </w:rPr>
            </w:pPr>
            <w:r>
              <w:rPr>
                <w:rFonts w:ascii="Aptos Display" w:hAnsi="Aptos Display"/>
                <w:b/>
                <w:color w:val="FFFFFF"/>
                <w:sz w:val="22"/>
              </w:rPr>
              <w:t>01</w:t>
            </w:r>
          </w:p>
        </w:tc>
        <w:tc>
          <w:tcPr>
            <w:tcW w:w="8660" w:type="dxa"/>
            <w:tcBorders>
              <w:top w:val="single" w:color="D7E1E8" w:sz="4" w:space="0"/>
              <w:left w:val="single" w:color="D7E1E8" w:sz="4" w:space="0"/>
              <w:bottom w:val="single" w:color="D7E1E8" w:sz="4" w:space="0"/>
              <w:right w:val="single" w:color="D7E1E8" w:sz="4" w:space="0"/>
            </w:tcBorders>
            <w:shd w:val="clear" w:color="auto" w:fill="F5F8FA"/>
          </w:tcPr>
          <w:p w14:paraId="16B04E93">
            <w:pPr>
              <w:spacing w:after="0"/>
              <w:rPr>
                <w:rFonts w:hint="eastAsia"/>
                <w:szCs w:val="24"/>
              </w:rPr>
            </w:pPr>
            <w:r>
              <w:rPr>
                <w:b/>
                <w:color w:val="2E6EA0"/>
                <w:szCs w:val="24"/>
              </w:rPr>
              <w:t xml:space="preserve">Create a shared information picture — </w:t>
            </w:r>
            <w:r>
              <w:rPr>
                <w:color w:val="585858"/>
                <w:szCs w:val="24"/>
              </w:rPr>
              <w:t>Maintain a practical, regularly updated record of organizations, locations, assistance types, coverage and delivery mechanisms.</w:t>
            </w:r>
          </w:p>
        </w:tc>
      </w:tr>
      <w:tr w14:paraId="5AC9C503">
        <w:trPr>
          <w:jc w:val="center"/>
        </w:trPr>
        <w:tc>
          <w:tcPr>
            <w:tcW w:w="1164" w:type="dxa"/>
            <w:tcBorders>
              <w:top w:val="single" w:color="1F4E79" w:sz="4" w:space="0"/>
              <w:left w:val="single" w:color="1F4E79" w:sz="4" w:space="0"/>
              <w:bottom w:val="single" w:color="1F4E79" w:sz="4" w:space="0"/>
              <w:right w:val="single" w:color="1F4E79" w:sz="4" w:space="0"/>
            </w:tcBorders>
            <w:shd w:val="clear" w:color="auto" w:fill="1F4E79"/>
          </w:tcPr>
          <w:p w14:paraId="4FC0E81B">
            <w:pPr>
              <w:jc w:val="center"/>
              <w:rPr>
                <w:rFonts w:hint="eastAsia"/>
              </w:rPr>
            </w:pPr>
            <w:r>
              <w:rPr>
                <w:rFonts w:ascii="Aptos Display" w:hAnsi="Aptos Display"/>
                <w:b/>
                <w:color w:val="FFFFFF"/>
                <w:sz w:val="22"/>
              </w:rPr>
              <w:t>02</w:t>
            </w:r>
          </w:p>
        </w:tc>
        <w:tc>
          <w:tcPr>
            <w:tcW w:w="8660" w:type="dxa"/>
            <w:tcBorders>
              <w:top w:val="single" w:color="D7E1E8" w:sz="4" w:space="0"/>
              <w:left w:val="single" w:color="D7E1E8" w:sz="4" w:space="0"/>
              <w:bottom w:val="single" w:color="D7E1E8" w:sz="4" w:space="0"/>
              <w:right w:val="single" w:color="D7E1E8" w:sz="4" w:space="0"/>
            </w:tcBorders>
            <w:shd w:val="clear" w:color="auto" w:fill="F5F8FA"/>
          </w:tcPr>
          <w:p w14:paraId="42F044D1">
            <w:pPr>
              <w:spacing w:after="0"/>
              <w:rPr>
                <w:rFonts w:hint="eastAsia"/>
                <w:szCs w:val="24"/>
              </w:rPr>
            </w:pPr>
            <w:r>
              <w:rPr>
                <w:b/>
                <w:color w:val="2E6EA0"/>
                <w:szCs w:val="24"/>
              </w:rPr>
              <w:t xml:space="preserve">Strengthen standards and monitoring — </w:t>
            </w:r>
            <w:r>
              <w:rPr>
                <w:color w:val="585858"/>
                <w:szCs w:val="24"/>
              </w:rPr>
              <w:t>Build capacity on Sphere Standards and CHS and monitor whether they are applied in practice.</w:t>
            </w:r>
          </w:p>
        </w:tc>
      </w:tr>
      <w:tr w14:paraId="28F3C08F">
        <w:trPr>
          <w:jc w:val="center"/>
        </w:trPr>
        <w:tc>
          <w:tcPr>
            <w:tcW w:w="1164" w:type="dxa"/>
            <w:tcBorders>
              <w:top w:val="single" w:color="1F4E79" w:sz="4" w:space="0"/>
              <w:left w:val="single" w:color="1F4E79" w:sz="4" w:space="0"/>
              <w:bottom w:val="single" w:color="1F4E79" w:sz="4" w:space="0"/>
              <w:right w:val="single" w:color="1F4E79" w:sz="4" w:space="0"/>
            </w:tcBorders>
            <w:shd w:val="clear" w:color="auto" w:fill="1F4E79"/>
          </w:tcPr>
          <w:p w14:paraId="229DD1B2">
            <w:pPr>
              <w:jc w:val="center"/>
              <w:rPr>
                <w:rFonts w:hint="eastAsia"/>
              </w:rPr>
            </w:pPr>
            <w:r>
              <w:rPr>
                <w:rFonts w:ascii="Aptos Display" w:hAnsi="Aptos Display"/>
                <w:b/>
                <w:color w:val="FFFFFF"/>
                <w:sz w:val="22"/>
              </w:rPr>
              <w:t>03</w:t>
            </w:r>
          </w:p>
        </w:tc>
        <w:tc>
          <w:tcPr>
            <w:tcW w:w="8660" w:type="dxa"/>
            <w:tcBorders>
              <w:top w:val="single" w:color="D7E1E8" w:sz="4" w:space="0"/>
              <w:left w:val="single" w:color="D7E1E8" w:sz="4" w:space="0"/>
              <w:bottom w:val="single" w:color="D7E1E8" w:sz="4" w:space="0"/>
              <w:right w:val="single" w:color="D7E1E8" w:sz="4" w:space="0"/>
            </w:tcBorders>
            <w:shd w:val="clear" w:color="auto" w:fill="F5F8FA"/>
          </w:tcPr>
          <w:p w14:paraId="2126F10A">
            <w:pPr>
              <w:spacing w:after="0"/>
              <w:rPr>
                <w:rFonts w:hint="eastAsia"/>
                <w:szCs w:val="24"/>
              </w:rPr>
            </w:pPr>
            <w:r>
              <w:rPr>
                <w:b/>
                <w:color w:val="2E6EA0"/>
                <w:szCs w:val="24"/>
              </w:rPr>
              <w:t xml:space="preserve">Close geographic and population gaps — </w:t>
            </w:r>
            <w:r>
              <w:rPr>
                <w:color w:val="585858"/>
                <w:szCs w:val="24"/>
              </w:rPr>
              <w:t>Identify underserved areas and groups and support timely, equitable and needs-based assistance.</w:t>
            </w:r>
          </w:p>
        </w:tc>
      </w:tr>
      <w:tr w14:paraId="59FF666D">
        <w:trPr>
          <w:jc w:val="center"/>
        </w:trPr>
        <w:tc>
          <w:tcPr>
            <w:tcW w:w="1164" w:type="dxa"/>
            <w:tcBorders>
              <w:top w:val="single" w:color="1F4E79" w:sz="4" w:space="0"/>
              <w:left w:val="single" w:color="1F4E79" w:sz="4" w:space="0"/>
              <w:bottom w:val="single" w:color="1F4E79" w:sz="4" w:space="0"/>
              <w:right w:val="single" w:color="1F4E79" w:sz="4" w:space="0"/>
            </w:tcBorders>
            <w:shd w:val="clear" w:color="auto" w:fill="1F4E79"/>
          </w:tcPr>
          <w:p w14:paraId="3B624FD3">
            <w:pPr>
              <w:jc w:val="center"/>
              <w:rPr>
                <w:rFonts w:hint="eastAsia"/>
              </w:rPr>
            </w:pPr>
            <w:r>
              <w:rPr>
                <w:rFonts w:ascii="Aptos Display" w:hAnsi="Aptos Display"/>
                <w:b/>
                <w:color w:val="FFFFFF"/>
                <w:sz w:val="22"/>
              </w:rPr>
              <w:t>04</w:t>
            </w:r>
          </w:p>
        </w:tc>
        <w:tc>
          <w:tcPr>
            <w:tcW w:w="8660" w:type="dxa"/>
            <w:tcBorders>
              <w:top w:val="single" w:color="D7E1E8" w:sz="4" w:space="0"/>
              <w:left w:val="single" w:color="D7E1E8" w:sz="4" w:space="0"/>
              <w:bottom w:val="single" w:color="D7E1E8" w:sz="4" w:space="0"/>
              <w:right w:val="single" w:color="D7E1E8" w:sz="4" w:space="0"/>
            </w:tcBorders>
            <w:shd w:val="clear" w:color="auto" w:fill="F5F8FA"/>
          </w:tcPr>
          <w:p w14:paraId="58BCFCBE">
            <w:pPr>
              <w:spacing w:after="0"/>
              <w:rPr>
                <w:rFonts w:hint="eastAsia"/>
                <w:szCs w:val="24"/>
              </w:rPr>
            </w:pPr>
            <w:r>
              <w:rPr>
                <w:b/>
                <w:color w:val="2E6EA0"/>
                <w:szCs w:val="24"/>
              </w:rPr>
              <w:t xml:space="preserve">Put protection and inclusion at the centre — </w:t>
            </w:r>
            <w:r>
              <w:rPr>
                <w:color w:val="585858"/>
                <w:szCs w:val="24"/>
              </w:rPr>
              <w:t>Integrate safeguarding, GEDSI and specific needs of older persons, women, children and other vulnerable groups.</w:t>
            </w:r>
          </w:p>
        </w:tc>
      </w:tr>
      <w:tr w14:paraId="04862FAB">
        <w:trPr>
          <w:jc w:val="center"/>
        </w:trPr>
        <w:tc>
          <w:tcPr>
            <w:tcW w:w="1164" w:type="dxa"/>
            <w:tcBorders>
              <w:top w:val="single" w:color="1F4E79" w:sz="4" w:space="0"/>
              <w:left w:val="single" w:color="1F4E79" w:sz="4" w:space="0"/>
              <w:bottom w:val="single" w:color="1F4E79" w:sz="4" w:space="0"/>
              <w:right w:val="single" w:color="1F4E79" w:sz="4" w:space="0"/>
            </w:tcBorders>
            <w:shd w:val="clear" w:color="auto" w:fill="1F4E79"/>
          </w:tcPr>
          <w:p w14:paraId="7D017F4B">
            <w:pPr>
              <w:jc w:val="center"/>
              <w:rPr>
                <w:rFonts w:hint="eastAsia"/>
              </w:rPr>
            </w:pPr>
            <w:r>
              <w:rPr>
                <w:rFonts w:ascii="Aptos Display" w:hAnsi="Aptos Display"/>
                <w:b/>
                <w:color w:val="FFFFFF"/>
                <w:sz w:val="22"/>
              </w:rPr>
              <w:t>05</w:t>
            </w:r>
          </w:p>
        </w:tc>
        <w:tc>
          <w:tcPr>
            <w:tcW w:w="8660" w:type="dxa"/>
            <w:tcBorders>
              <w:top w:val="single" w:color="D7E1E8" w:sz="4" w:space="0"/>
              <w:left w:val="single" w:color="D7E1E8" w:sz="4" w:space="0"/>
              <w:bottom w:val="single" w:color="D7E1E8" w:sz="4" w:space="0"/>
              <w:right w:val="single" w:color="D7E1E8" w:sz="4" w:space="0"/>
            </w:tcBorders>
            <w:shd w:val="clear" w:color="auto" w:fill="DBE5F1" w:themeFill="accent1" w:themeFillTint="33"/>
          </w:tcPr>
          <w:p w14:paraId="34CC1F94">
            <w:pPr>
              <w:spacing w:after="0"/>
              <w:rPr>
                <w:rFonts w:hint="eastAsia"/>
                <w:szCs w:val="24"/>
              </w:rPr>
            </w:pPr>
            <w:r>
              <w:rPr>
                <w:b/>
                <w:color w:val="2E6EA0"/>
                <w:szCs w:val="24"/>
              </w:rPr>
              <w:t xml:space="preserve">Address essential services at temporary sites — </w:t>
            </w:r>
            <w:r>
              <w:rPr>
                <w:color w:val="585858"/>
                <w:szCs w:val="24"/>
              </w:rPr>
              <w:t xml:space="preserve">Track basic facilities, including adequate toilets and </w:t>
            </w:r>
            <w:r>
              <w:rPr>
                <w:color w:val="585858"/>
                <w:szCs w:val="24"/>
                <w:shd w:val="clear" w:color="auto" w:fill="DBE5F1" w:themeFill="accent1" w:themeFillTint="33"/>
              </w:rPr>
              <w:t>other requirements affecting dignity, safety and health. Ms . Geeta Subedi –Advisor DiMaNN</w:t>
            </w:r>
          </w:p>
        </w:tc>
      </w:tr>
      <w:tr w14:paraId="769B8070">
        <w:trPr>
          <w:jc w:val="center"/>
        </w:trPr>
        <w:tc>
          <w:tcPr>
            <w:tcW w:w="1164" w:type="dxa"/>
            <w:tcBorders>
              <w:top w:val="single" w:color="1F4E79" w:sz="4" w:space="0"/>
              <w:left w:val="single" w:color="1F4E79" w:sz="4" w:space="0"/>
              <w:bottom w:val="single" w:color="1F4E79" w:sz="4" w:space="0"/>
              <w:right w:val="single" w:color="1F4E79" w:sz="4" w:space="0"/>
            </w:tcBorders>
            <w:shd w:val="clear" w:color="auto" w:fill="1F4E79"/>
          </w:tcPr>
          <w:p w14:paraId="3C1C8DE6">
            <w:pPr>
              <w:jc w:val="center"/>
              <w:rPr>
                <w:rFonts w:hint="eastAsia"/>
              </w:rPr>
            </w:pPr>
            <w:r>
              <w:rPr>
                <w:rFonts w:ascii="Aptos Display" w:hAnsi="Aptos Display"/>
                <w:b/>
                <w:color w:val="FFFFFF"/>
                <w:sz w:val="22"/>
              </w:rPr>
              <w:t>06</w:t>
            </w:r>
          </w:p>
        </w:tc>
        <w:tc>
          <w:tcPr>
            <w:tcW w:w="8660" w:type="dxa"/>
            <w:tcBorders>
              <w:top w:val="single" w:color="D7E1E8" w:sz="4" w:space="0"/>
              <w:left w:val="single" w:color="D7E1E8" w:sz="4" w:space="0"/>
              <w:bottom w:val="single" w:color="D7E1E8" w:sz="4" w:space="0"/>
              <w:right w:val="single" w:color="D7E1E8" w:sz="4" w:space="0"/>
            </w:tcBorders>
            <w:shd w:val="clear" w:color="auto" w:fill="F5F8FA"/>
          </w:tcPr>
          <w:p w14:paraId="77E06EA9">
            <w:pPr>
              <w:spacing w:after="0"/>
              <w:rPr>
                <w:rFonts w:hint="eastAsia"/>
                <w:szCs w:val="24"/>
              </w:rPr>
            </w:pPr>
            <w:r>
              <w:rPr>
                <w:b/>
                <w:color w:val="2E6EA0"/>
                <w:szCs w:val="24"/>
              </w:rPr>
              <w:t xml:space="preserve">Sustain recovery — </w:t>
            </w:r>
            <w:r>
              <w:rPr>
                <w:color w:val="585858"/>
                <w:szCs w:val="24"/>
              </w:rPr>
              <w:t>Connect immediate relief with temporary shelter, livelihood recovery, rehabilitation and reconstruction.</w:t>
            </w:r>
          </w:p>
        </w:tc>
      </w:tr>
      <w:tr w14:paraId="4CA6F5D5">
        <w:trPr>
          <w:jc w:val="center"/>
        </w:trPr>
        <w:tc>
          <w:tcPr>
            <w:tcW w:w="1164" w:type="dxa"/>
            <w:tcBorders>
              <w:top w:val="single" w:color="1F4E79" w:sz="4" w:space="0"/>
              <w:left w:val="single" w:color="1F4E79" w:sz="4" w:space="0"/>
              <w:bottom w:val="single" w:color="1F4E79" w:sz="4" w:space="0"/>
              <w:right w:val="single" w:color="1F4E79" w:sz="4" w:space="0"/>
            </w:tcBorders>
            <w:shd w:val="clear" w:color="auto" w:fill="1F4E79"/>
          </w:tcPr>
          <w:p w14:paraId="576E1150">
            <w:pPr>
              <w:jc w:val="center"/>
              <w:rPr>
                <w:rFonts w:hint="eastAsia"/>
              </w:rPr>
            </w:pPr>
            <w:r>
              <w:rPr>
                <w:rFonts w:ascii="Aptos Display" w:hAnsi="Aptos Display"/>
                <w:b/>
                <w:color w:val="FFFFFF"/>
                <w:sz w:val="22"/>
              </w:rPr>
              <w:t>07</w:t>
            </w:r>
          </w:p>
        </w:tc>
        <w:tc>
          <w:tcPr>
            <w:tcW w:w="8660" w:type="dxa"/>
            <w:tcBorders>
              <w:top w:val="single" w:color="D7E1E8" w:sz="4" w:space="0"/>
              <w:left w:val="single" w:color="D7E1E8" w:sz="4" w:space="0"/>
              <w:bottom w:val="single" w:color="D7E1E8" w:sz="4" w:space="0"/>
              <w:right w:val="single" w:color="D7E1E8" w:sz="4" w:space="0"/>
            </w:tcBorders>
            <w:shd w:val="clear" w:color="auto" w:fill="F5F8FA"/>
          </w:tcPr>
          <w:p w14:paraId="32FFC11A">
            <w:pPr>
              <w:spacing w:after="0"/>
              <w:rPr>
                <w:rFonts w:hint="eastAsia"/>
                <w:szCs w:val="24"/>
              </w:rPr>
            </w:pPr>
            <w:r>
              <w:rPr>
                <w:b/>
                <w:color w:val="2E6EA0"/>
                <w:szCs w:val="24"/>
              </w:rPr>
              <w:t xml:space="preserve">Clarify the one-door/one-window approach — </w:t>
            </w:r>
            <w:r>
              <w:rPr>
                <w:color w:val="585858"/>
                <w:szCs w:val="24"/>
              </w:rPr>
              <w:t>Request written government clarification on what the system means and does not mean, while maintaining constructive civil society support.</w:t>
            </w:r>
          </w:p>
        </w:tc>
      </w:tr>
      <w:tr w14:paraId="51514E0A">
        <w:trPr>
          <w:jc w:val="center"/>
        </w:trPr>
        <w:tc>
          <w:tcPr>
            <w:tcW w:w="1164" w:type="dxa"/>
            <w:tcBorders>
              <w:top w:val="single" w:color="1F4E79" w:sz="4" w:space="0"/>
              <w:left w:val="single" w:color="1F4E79" w:sz="4" w:space="0"/>
              <w:bottom w:val="single" w:color="1F4E79" w:sz="4" w:space="0"/>
              <w:right w:val="single" w:color="1F4E79" w:sz="4" w:space="0"/>
            </w:tcBorders>
            <w:shd w:val="clear" w:color="auto" w:fill="1F4E79"/>
          </w:tcPr>
          <w:p w14:paraId="3D3064FD">
            <w:pPr>
              <w:jc w:val="center"/>
              <w:rPr>
                <w:rFonts w:hint="eastAsia"/>
              </w:rPr>
            </w:pPr>
            <w:r>
              <w:rPr>
                <w:rFonts w:ascii="Aptos Display" w:hAnsi="Aptos Display"/>
                <w:b/>
                <w:color w:val="FFFFFF"/>
                <w:sz w:val="22"/>
              </w:rPr>
              <w:t>08</w:t>
            </w:r>
          </w:p>
        </w:tc>
        <w:tc>
          <w:tcPr>
            <w:tcW w:w="8660" w:type="dxa"/>
            <w:tcBorders>
              <w:top w:val="single" w:color="D7E1E8" w:sz="4" w:space="0"/>
              <w:left w:val="single" w:color="D7E1E8" w:sz="4" w:space="0"/>
              <w:bottom w:val="single" w:color="D7E1E8" w:sz="4" w:space="0"/>
              <w:right w:val="single" w:color="D7E1E8" w:sz="4" w:space="0"/>
            </w:tcBorders>
            <w:shd w:val="clear" w:color="auto" w:fill="F5F8FA"/>
          </w:tcPr>
          <w:p w14:paraId="7090DEEE">
            <w:pPr>
              <w:spacing w:after="0"/>
              <w:rPr>
                <w:rFonts w:hint="eastAsia"/>
                <w:szCs w:val="24"/>
              </w:rPr>
            </w:pPr>
            <w:r>
              <w:rPr>
                <w:b/>
                <w:color w:val="2E6EA0"/>
                <w:szCs w:val="24"/>
              </w:rPr>
              <w:t xml:space="preserve">Localize the response — </w:t>
            </w:r>
            <w:r>
              <w:rPr>
                <w:color w:val="585858"/>
                <w:szCs w:val="24"/>
              </w:rPr>
              <w:t>Strengthen local organizations, local staff, community knowledge and locally relevant approaches.</w:t>
            </w:r>
          </w:p>
        </w:tc>
      </w:tr>
      <w:tr w14:paraId="0F79F8A3">
        <w:trPr>
          <w:jc w:val="center"/>
        </w:trPr>
        <w:tc>
          <w:tcPr>
            <w:tcW w:w="1164" w:type="dxa"/>
            <w:tcBorders>
              <w:top w:val="single" w:color="1F4E79" w:sz="4" w:space="0"/>
              <w:left w:val="single" w:color="1F4E79" w:sz="4" w:space="0"/>
              <w:bottom w:val="single" w:color="1F4E79" w:sz="4" w:space="0"/>
              <w:right w:val="single" w:color="1F4E79" w:sz="4" w:space="0"/>
            </w:tcBorders>
            <w:shd w:val="clear" w:color="auto" w:fill="1F4E79"/>
          </w:tcPr>
          <w:p w14:paraId="46BCAFDF">
            <w:pPr>
              <w:jc w:val="center"/>
              <w:rPr>
                <w:rFonts w:hint="eastAsia"/>
              </w:rPr>
            </w:pPr>
            <w:r>
              <w:rPr>
                <w:rFonts w:ascii="Aptos Display" w:hAnsi="Aptos Display"/>
                <w:b/>
                <w:color w:val="FFFFFF"/>
                <w:sz w:val="22"/>
              </w:rPr>
              <w:t>09</w:t>
            </w:r>
          </w:p>
        </w:tc>
        <w:tc>
          <w:tcPr>
            <w:tcW w:w="8660" w:type="dxa"/>
            <w:tcBorders>
              <w:top w:val="single" w:color="D7E1E8" w:sz="4" w:space="0"/>
              <w:left w:val="single" w:color="D7E1E8" w:sz="4" w:space="0"/>
              <w:bottom w:val="single" w:color="D7E1E8" w:sz="4" w:space="0"/>
              <w:right w:val="single" w:color="D7E1E8" w:sz="4" w:space="0"/>
            </w:tcBorders>
            <w:shd w:val="clear" w:color="auto" w:fill="F5F8FA"/>
          </w:tcPr>
          <w:p w14:paraId="33B8B17F">
            <w:pPr>
              <w:spacing w:after="0"/>
              <w:rPr>
                <w:rFonts w:hint="eastAsia"/>
                <w:szCs w:val="24"/>
              </w:rPr>
            </w:pPr>
            <w:r>
              <w:rPr>
                <w:b/>
                <w:color w:val="2E6EA0"/>
                <w:szCs w:val="24"/>
              </w:rPr>
              <w:t xml:space="preserve">Build evidence and learning — </w:t>
            </w:r>
            <w:r>
              <w:rPr>
                <w:color w:val="585858"/>
                <w:szCs w:val="24"/>
              </w:rPr>
              <w:t>Strengthen databases, documentation, monitoring, policy learning and support for families of missing persons.</w:t>
            </w:r>
          </w:p>
        </w:tc>
      </w:tr>
      <w:tr w14:paraId="33EE4137">
        <w:trPr>
          <w:jc w:val="center"/>
        </w:trPr>
        <w:tc>
          <w:tcPr>
            <w:tcW w:w="1164" w:type="dxa"/>
            <w:tcBorders>
              <w:top w:val="single" w:color="1F4E79" w:sz="4" w:space="0"/>
              <w:left w:val="single" w:color="1F4E79" w:sz="4" w:space="0"/>
              <w:right w:val="single" w:color="1F4E79" w:sz="4" w:space="0"/>
            </w:tcBorders>
            <w:shd w:val="clear" w:color="auto" w:fill="1F4E79"/>
          </w:tcPr>
          <w:p w14:paraId="22B38699">
            <w:pPr>
              <w:jc w:val="center"/>
              <w:rPr>
                <w:rFonts w:hint="eastAsia"/>
              </w:rPr>
            </w:pPr>
            <w:r>
              <w:rPr>
                <w:rFonts w:ascii="Aptos Display" w:hAnsi="Aptos Display"/>
                <w:b/>
                <w:color w:val="FFFFFF"/>
                <w:sz w:val="22"/>
              </w:rPr>
              <w:t>10</w:t>
            </w:r>
          </w:p>
        </w:tc>
        <w:tc>
          <w:tcPr>
            <w:tcW w:w="8660" w:type="dxa"/>
            <w:tcBorders>
              <w:top w:val="single" w:color="D7E1E8" w:sz="4" w:space="0"/>
              <w:left w:val="single" w:color="D7E1E8" w:sz="4" w:space="0"/>
              <w:right w:val="single" w:color="D7E1E8" w:sz="4" w:space="0"/>
            </w:tcBorders>
            <w:shd w:val="clear" w:color="auto" w:fill="F5F8FA"/>
          </w:tcPr>
          <w:p w14:paraId="16DBEC2D">
            <w:pPr>
              <w:spacing w:after="0"/>
              <w:rPr>
                <w:rFonts w:hint="eastAsia"/>
                <w:szCs w:val="24"/>
              </w:rPr>
            </w:pPr>
            <w:r>
              <w:rPr>
                <w:b/>
                <w:color w:val="2E6EA0"/>
                <w:szCs w:val="24"/>
              </w:rPr>
              <w:t xml:space="preserve">Maintain regular convergence — </w:t>
            </w:r>
            <w:r>
              <w:rPr>
                <w:color w:val="585858"/>
                <w:szCs w:val="24"/>
              </w:rPr>
              <w:t>Hold regular NGO Group meetings and thematic/cluster discussions and submit consolidated recommendations to government and NPDRR.</w:t>
            </w:r>
          </w:p>
        </w:tc>
      </w:tr>
      <w:tr w14:paraId="0F8FEA3E">
        <w:trPr>
          <w:jc w:val="center"/>
        </w:trPr>
        <w:tc>
          <w:tcPr>
            <w:tcW w:w="1164" w:type="dxa"/>
            <w:shd w:val="clear" w:color="auto" w:fill="FFFFFF" w:themeFill="background1"/>
          </w:tcPr>
          <w:p w14:paraId="4571E07B">
            <w:pPr>
              <w:jc w:val="center"/>
              <w:rPr>
                <w:rFonts w:hint="eastAsia" w:ascii="Aptos Display" w:hAnsi="Aptos Display"/>
                <w:b/>
                <w:color w:val="FFFFFF"/>
                <w:sz w:val="22"/>
              </w:rPr>
            </w:pPr>
          </w:p>
        </w:tc>
        <w:tc>
          <w:tcPr>
            <w:tcW w:w="8660" w:type="dxa"/>
            <w:shd w:val="clear" w:color="auto" w:fill="FFFFFF" w:themeFill="background1"/>
          </w:tcPr>
          <w:p w14:paraId="605EB8E3">
            <w:pPr>
              <w:spacing w:after="0"/>
              <w:rPr>
                <w:rFonts w:hint="eastAsia"/>
                <w:b/>
                <w:color w:val="2E6EA0"/>
                <w:szCs w:val="24"/>
              </w:rPr>
            </w:pPr>
          </w:p>
        </w:tc>
      </w:tr>
    </w:tbl>
    <w:p w14:paraId="33E578B3">
      <w:pPr>
        <w:spacing w:after="40"/>
        <w:jc w:val="center"/>
        <w:rPr>
          <w:rFonts w:hint="eastAsia"/>
        </w:rPr>
      </w:pPr>
      <w:r>
        <w:rPr>
          <w:lang w:bidi="ne-NP"/>
        </w:rPr>
        <w:drawing>
          <wp:inline distT="0" distB="0" distL="0" distR="0">
            <wp:extent cx="6272530" cy="4704080"/>
            <wp:effectExtent l="0" t="0" r="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14"/>
                    <a:stretch>
                      <a:fillRect/>
                    </a:stretch>
                  </pic:blipFill>
                  <pic:spPr>
                    <a:xfrm>
                      <a:off x="0" y="0"/>
                      <a:ext cx="6281833" cy="4711375"/>
                    </a:xfrm>
                    <a:prstGeom prst="rect">
                      <a:avLst/>
                    </a:prstGeom>
                  </pic:spPr>
                </pic:pic>
              </a:graphicData>
            </a:graphic>
          </wp:inline>
        </w:drawing>
      </w:r>
    </w:p>
    <w:p w14:paraId="3901D280">
      <w:pPr>
        <w:spacing w:after="120"/>
        <w:jc w:val="center"/>
        <w:rPr>
          <w:rFonts w:hint="eastAsia"/>
          <w:b/>
          <w:bCs/>
          <w:sz w:val="24"/>
          <w:szCs w:val="28"/>
        </w:rPr>
      </w:pPr>
      <w:r>
        <w:rPr>
          <w:b/>
          <w:bCs/>
          <w:i/>
          <w:color w:val="585858"/>
          <w:szCs w:val="28"/>
        </w:rPr>
        <w:t>Figure 5. Stakeholders continuing discussion on coordinated humanitarian action, policy dialogue and recovery.</w:t>
      </w:r>
    </w:p>
    <w:p w14:paraId="4BA6C2C7">
      <w:pPr>
        <w:rPr>
          <w:rFonts w:hint="eastAsia"/>
        </w:rPr>
      </w:pPr>
      <w:r>
        <w:br w:type="page"/>
      </w:r>
    </w:p>
    <w:p w14:paraId="5B57390D">
      <w:pPr>
        <w:spacing w:before="140" w:after="80"/>
        <w:rPr>
          <w:rFonts w:hint="eastAsia"/>
        </w:rPr>
      </w:pPr>
      <w:r>
        <w:rPr>
          <w:rFonts w:ascii="Aptos Display" w:hAnsi="Aptos Display"/>
          <w:b/>
          <w:color w:val="2E6EA0"/>
          <w:sz w:val="34"/>
        </w:rPr>
        <w:t>7. Conclusion</w:t>
      </w:r>
    </w:p>
    <w:p w14:paraId="5E725E97">
      <w:pPr>
        <w:pStyle w:val="165"/>
        <w:jc w:val="both"/>
        <w:rPr>
          <w:rFonts w:hint="eastAsia" w:ascii="Aptos" w:hAnsi="Aptos" w:eastAsiaTheme="minorEastAsia" w:cstheme="minorBidi"/>
          <w:sz w:val="20"/>
          <w:szCs w:val="22"/>
          <w:lang w:bidi="ar-SA"/>
        </w:rPr>
      </w:pPr>
      <w:r>
        <w:rPr>
          <w:rFonts w:ascii="Aptos" w:hAnsi="Aptos" w:eastAsiaTheme="minorEastAsia" w:cstheme="minorBidi"/>
          <w:sz w:val="20"/>
          <w:szCs w:val="22"/>
          <w:lang w:bidi="ar-SA"/>
        </w:rPr>
        <w:t xml:space="preserve">The Rasuwa–Bhotekoshi flood response requires convergence rather than parallel action. The civil society dialogue created a platform for organizations to share experiences, identify gaps and agree on practical priorities for quality, effective and </w:t>
      </w:r>
      <w:r>
        <w:rPr>
          <w:rFonts w:ascii="Aptos" w:hAnsi="Aptos" w:eastAsiaTheme="minorEastAsia" w:cstheme="minorBidi"/>
          <w:b/>
          <w:bCs/>
          <w:sz w:val="20"/>
          <w:szCs w:val="22"/>
          <w:lang w:bidi="ar-SA"/>
        </w:rPr>
        <w:t>environmentally responsible humanitarian action</w:t>
      </w:r>
      <w:r>
        <w:rPr>
          <w:rFonts w:ascii="Aptos" w:hAnsi="Aptos" w:eastAsiaTheme="minorEastAsia" w:cstheme="minorBidi"/>
          <w:sz w:val="20"/>
          <w:szCs w:val="22"/>
          <w:lang w:bidi="ar-SA"/>
        </w:rPr>
        <w:t xml:space="preserve">. </w:t>
      </w:r>
    </w:p>
    <w:p w14:paraId="423E2CA8">
      <w:pPr>
        <w:pStyle w:val="165"/>
        <w:shd w:val="clear" w:color="auto" w:fill="DBE5F1" w:themeFill="accent1" w:themeFillTint="33"/>
        <w:jc w:val="both"/>
        <w:rPr>
          <w:rFonts w:hint="eastAsia" w:ascii="Aptos" w:hAnsi="Aptos" w:eastAsiaTheme="minorEastAsia" w:cstheme="minorBidi"/>
          <w:sz w:val="20"/>
          <w:szCs w:val="22"/>
          <w:lang w:bidi="ar-SA"/>
        </w:rPr>
      </w:pPr>
      <w:r>
        <w:rPr>
          <w:rFonts w:ascii="Aptos" w:hAnsi="Aptos" w:eastAsiaTheme="minorEastAsia" w:cstheme="minorBidi"/>
          <w:sz w:val="20"/>
          <w:szCs w:val="22"/>
          <w:shd w:val="clear" w:color="auto" w:fill="DBE5F1" w:themeFill="accent1" w:themeFillTint="33"/>
          <w:lang w:bidi="ar-SA"/>
        </w:rPr>
        <w:t xml:space="preserve">The central commitment is that humanitarian assistance should be timely, equitable, accountable, locally relevant, </w:t>
      </w:r>
      <w:r>
        <w:rPr>
          <w:rFonts w:ascii="Aptos" w:hAnsi="Aptos" w:eastAsiaTheme="minorEastAsia" w:cstheme="minorBidi"/>
          <w:b/>
          <w:bCs/>
          <w:sz w:val="20"/>
          <w:szCs w:val="22"/>
          <w:shd w:val="clear" w:color="auto" w:fill="DBE5F1" w:themeFill="accent1" w:themeFillTint="33"/>
          <w:lang w:bidi="ar-SA"/>
        </w:rPr>
        <w:t>nature- and climate-sensitive</w:t>
      </w:r>
      <w:r>
        <w:rPr>
          <w:rFonts w:ascii="Aptos" w:hAnsi="Aptos" w:eastAsiaTheme="minorEastAsia" w:cstheme="minorBidi"/>
          <w:sz w:val="20"/>
          <w:szCs w:val="22"/>
          <w:shd w:val="clear" w:color="auto" w:fill="DBE5F1" w:themeFill="accent1" w:themeFillTint="33"/>
          <w:lang w:bidi="ar-SA"/>
        </w:rPr>
        <w:t>, and coordinated, with the dignity and self-respect of affected communities protected throughout relief, recovery, rehabilitation and reconstruction. Mr …………</w:t>
      </w:r>
      <w:r>
        <w:rPr>
          <w:rFonts w:ascii="Aptos" w:hAnsi="Aptos" w:eastAsiaTheme="minorEastAsia" w:cstheme="minorBidi"/>
          <w:sz w:val="20"/>
          <w:szCs w:val="22"/>
          <w:lang w:bidi="ar-SA"/>
        </w:rPr>
        <w:t xml:space="preserve">   …………………………</w:t>
      </w:r>
    </w:p>
    <w:p w14:paraId="20AA7945">
      <w:pPr>
        <w:pStyle w:val="33"/>
        <w:jc w:val="both"/>
        <w:rPr>
          <w:rFonts w:hint="eastAsia" w:ascii="Aptos" w:hAnsi="Aptos" w:eastAsiaTheme="minorEastAsia" w:cstheme="minorBidi"/>
          <w:sz w:val="20"/>
          <w:szCs w:val="22"/>
          <w:lang w:bidi="ar-SA"/>
        </w:rPr>
      </w:pPr>
      <w:r>
        <w:rPr>
          <w:rFonts w:ascii="Aptos" w:hAnsi="Aptos" w:eastAsiaTheme="minorEastAsia" w:cstheme="minorBidi"/>
          <w:sz w:val="20"/>
          <w:szCs w:val="22"/>
          <w:lang w:bidi="ar-SA"/>
        </w:rPr>
        <w:t xml:space="preserve">Across all phases, response and recovery efforts should </w:t>
      </w:r>
      <w:r>
        <w:rPr>
          <w:rFonts w:ascii="Aptos" w:hAnsi="Aptos" w:eastAsiaTheme="minorEastAsia" w:cstheme="minorBidi"/>
          <w:b/>
          <w:bCs/>
          <w:sz w:val="20"/>
          <w:szCs w:val="22"/>
          <w:lang w:bidi="ar-SA"/>
        </w:rPr>
        <w:t>minimize environmental harm, protect natural resources and ecosystems, promote climate-resilient and nature-based solutions, and encourage environmentally sustainable practices</w:t>
      </w:r>
      <w:r>
        <w:rPr>
          <w:rFonts w:ascii="Aptos" w:hAnsi="Aptos" w:eastAsiaTheme="minorEastAsia" w:cstheme="minorBidi"/>
          <w:sz w:val="20"/>
          <w:szCs w:val="22"/>
          <w:lang w:bidi="ar-SA"/>
        </w:rPr>
        <w:t xml:space="preserve"> in the planning and delivery of humanitarian assistance. This includes responsible management of relief materials and waste, protection of water sources and watersheds, and ensuring that reconstruction contributes to safer, greener and more resilient communities.</w:t>
      </w:r>
    </w:p>
    <w:tbl>
      <w:tblPr>
        <w:tblStyle w:val="12"/>
        <w:tblW w:w="0" w:type="auto"/>
        <w:jc w:val="center"/>
        <w:tblLayout w:type="autofit"/>
        <w:tblCellMar>
          <w:top w:w="0" w:type="dxa"/>
          <w:left w:w="108" w:type="dxa"/>
          <w:bottom w:w="0" w:type="dxa"/>
          <w:right w:w="108" w:type="dxa"/>
        </w:tblCellMar>
      </w:tblPr>
      <w:tblGrid>
        <w:gridCol w:w="9835"/>
      </w:tblGrid>
      <w:tr w14:paraId="759B9D07">
        <w:trPr>
          <w:jc w:val="center"/>
        </w:trPr>
        <w:tc>
          <w:tcPr>
            <w:tcW w:w="9835" w:type="dxa"/>
            <w:tcBorders>
              <w:top w:val="single" w:color="1F4E79" w:sz="6" w:space="0"/>
              <w:left w:val="single" w:color="1F4E79" w:sz="6" w:space="0"/>
              <w:bottom w:val="single" w:color="1F4E79" w:sz="6" w:space="0"/>
              <w:right w:val="single" w:color="1F4E79" w:sz="6" w:space="0"/>
            </w:tcBorders>
            <w:shd w:val="clear" w:color="auto" w:fill="EAF2F8"/>
          </w:tcPr>
          <w:p w14:paraId="160F4E96">
            <w:pPr>
              <w:jc w:val="center"/>
              <w:rPr>
                <w:rFonts w:hint="eastAsia"/>
              </w:rPr>
            </w:pPr>
            <w:r>
              <w:rPr>
                <w:rFonts w:ascii="Aptos Display" w:hAnsi="Aptos Display"/>
                <w:b/>
                <w:color w:val="2E6EA0"/>
                <w:sz w:val="22"/>
              </w:rPr>
              <w:t>A SHARED RESPONSIBILITY</w:t>
            </w:r>
          </w:p>
          <w:p w14:paraId="5AC22E97">
            <w:pPr>
              <w:jc w:val="center"/>
              <w:rPr>
                <w:rFonts w:hint="eastAsia"/>
              </w:rPr>
            </w:pPr>
            <w:r>
              <w:rPr>
                <w:b/>
                <w:color w:val="585858"/>
                <w:sz w:val="24"/>
              </w:rPr>
              <w:t>Government leadership + international solidarity + civil society capacity + academic knowledge + local expertise + community participation</w:t>
            </w:r>
          </w:p>
        </w:tc>
      </w:tr>
    </w:tbl>
    <w:p w14:paraId="4DCE2E24">
      <w:pPr>
        <w:spacing w:before="100" w:after="80"/>
        <w:rPr>
          <w:rFonts w:hint="eastAsia"/>
        </w:rPr>
      </w:pPr>
      <w:r>
        <w:rPr>
          <w:rFonts w:ascii="Aptos Display" w:hAnsi="Aptos Display"/>
          <w:b/>
          <w:color w:val="2E6EA0"/>
          <w:sz w:val="25"/>
        </w:rPr>
        <w:t>8. Immediate Recommendations</w:t>
      </w:r>
    </w:p>
    <w:p w14:paraId="77076BC8">
      <w:pPr>
        <w:pStyle w:val="23"/>
        <w:spacing w:after="60"/>
        <w:ind w:left="317"/>
        <w:rPr>
          <w:rFonts w:hint="eastAsia"/>
        </w:rPr>
      </w:pPr>
      <w:r>
        <w:t>Compile the dialogue’s observations and recommendations and submit them through the National Platform for Disaster Risk Reduction.</w:t>
      </w:r>
    </w:p>
    <w:p w14:paraId="00F7900A">
      <w:pPr>
        <w:pStyle w:val="23"/>
        <w:spacing w:after="60"/>
        <w:ind w:left="317"/>
        <w:rPr>
          <w:rFonts w:hint="eastAsia"/>
        </w:rPr>
      </w:pPr>
      <w:r>
        <w:t>Continue regular policy discussions with subject-matter experts and thematic/cluster members.</w:t>
      </w:r>
    </w:p>
    <w:p w14:paraId="69F3E361">
      <w:pPr>
        <w:pStyle w:val="23"/>
        <w:spacing w:after="60"/>
        <w:ind w:left="317"/>
        <w:rPr>
          <w:rFonts w:hint="eastAsia"/>
        </w:rPr>
      </w:pPr>
      <w:r>
        <w:t>Mobilize national and international resources for recovery, rehabilitation and reconstruction of flood-affected communities.</w:t>
      </w:r>
    </w:p>
    <w:p w14:paraId="67BEC8FD">
      <w:pPr>
        <w:pStyle w:val="23"/>
        <w:spacing w:after="60"/>
        <w:ind w:left="317"/>
        <w:rPr>
          <w:rFonts w:hint="eastAsia"/>
        </w:rPr>
      </w:pPr>
      <w:r>
        <w:t>Maximize knowledge, skills and resources available within civil society organizations while facilitating access to additional resources where needed.</w:t>
      </w:r>
    </w:p>
    <w:p w14:paraId="230DF8E3">
      <w:pPr>
        <w:pStyle w:val="23"/>
        <w:spacing w:after="60"/>
        <w:ind w:left="317"/>
        <w:rPr>
          <w:rFonts w:hint="eastAsia"/>
        </w:rPr>
      </w:pPr>
      <w:r>
        <w:t>Maintain a strong focus on information, coordination, quality standards, protection, inclusion, localization and accountability.</w:t>
      </w:r>
    </w:p>
    <w:p w14:paraId="00E99B37">
      <w:pPr>
        <w:spacing w:before="100" w:after="80"/>
        <w:rPr>
          <w:rFonts w:hint="eastAsia"/>
        </w:rPr>
      </w:pPr>
      <w:r>
        <w:rPr>
          <w:rFonts w:ascii="Aptos Display" w:hAnsi="Aptos Display"/>
          <w:b/>
          <w:color w:val="2E6EA0"/>
          <w:sz w:val="25"/>
        </w:rPr>
        <w:t>9. Closing</w:t>
      </w:r>
    </w:p>
    <w:p w14:paraId="737255BA">
      <w:pPr>
        <w:rPr>
          <w:rFonts w:hint="eastAsia"/>
        </w:rPr>
      </w:pPr>
      <w:r>
        <w:t>The programme concluded with appreciation to all participants for their contributions and participation. The dialogue reaffirmed the value of coordinated action among government, civil society, humanitarian and development partners, academia and other actors in building an effective and accountable response for affected communities.</w:t>
      </w:r>
    </w:p>
    <w:p w14:paraId="5E43F014">
      <w:pPr>
        <w:spacing w:before="160" w:after="0"/>
        <w:jc w:val="center"/>
        <w:rPr>
          <w:rFonts w:hint="eastAsia"/>
          <w:b/>
          <w:bCs/>
          <w:i/>
          <w:color w:val="585858"/>
          <w:sz w:val="16"/>
        </w:rPr>
      </w:pPr>
      <w:r>
        <w:rPr>
          <w:b/>
          <w:bCs/>
          <w:i/>
          <w:color w:val="585858"/>
          <w:sz w:val="16"/>
        </w:rPr>
        <w:t>Prepared as a convergence and communication version of the supplied Civil Society Dialogue report and accompanying event photographs.</w:t>
      </w:r>
    </w:p>
    <w:p w14:paraId="0C916852">
      <w:pPr>
        <w:spacing w:before="160" w:after="0"/>
        <w:jc w:val="center"/>
        <w:rPr>
          <w:sz w:val="28"/>
          <w:szCs w:val="36"/>
        </w:rPr>
      </w:pPr>
      <w:r>
        <w:rPr>
          <w:sz w:val="28"/>
          <w:szCs w:val="36"/>
        </w:rPr>
        <w:t>Rasuwa Flood Devastation 2026: Humanitarian Action in Focus</w:t>
      </w:r>
    </w:p>
    <w:tbl>
      <w:tblPr>
        <w:tblStyle w:val="3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946"/>
        <w:gridCol w:w="3879"/>
      </w:tblGrid>
      <w:tr w14:paraId="49BE76F5">
        <w:tc>
          <w:tcPr>
            <w:tcW w:w="5946" w:type="dxa"/>
          </w:tcPr>
          <w:p w14:paraId="476B5B2F">
            <w:pPr>
              <w:spacing w:before="160" w:after="0"/>
              <w:jc w:val="center"/>
            </w:pPr>
            <w:r>
              <w:rPr>
                <w:lang w:bidi="ne-NP"/>
              </w:rPr>
              <w:drawing>
                <wp:inline distT="0" distB="0" distL="0" distR="0">
                  <wp:extent cx="3332480" cy="2499360"/>
                  <wp:effectExtent l="0" t="0" r="1270" b="0"/>
                  <wp:docPr id="8" name="Picture 8" descr="C:\Users\user\AppData\Local\Packages\5319275A.WhatsAppDesktop_cv1g1gvanyjgm\LocalState\sessions\C266D84355813D4DDDC49257660A659B7A78433C\transfers\2026-38\WhatsApp Image 2026-09-18 at 7.26.16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Users\user\AppData\Local\Packages\5319275A.WhatsAppDesktop_cv1g1gvanyjgm\LocalState\sessions\C266D84355813D4DDDC49257660A659B7A78433C\transfers\2026-38\WhatsApp Image 2026-09-18 at 7.26.16 AM.jpe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3348212" cy="2511158"/>
                          </a:xfrm>
                          <a:prstGeom prst="rect">
                            <a:avLst/>
                          </a:prstGeom>
                          <a:noFill/>
                          <a:ln>
                            <a:noFill/>
                          </a:ln>
                        </pic:spPr>
                      </pic:pic>
                    </a:graphicData>
                  </a:graphic>
                </wp:inline>
              </w:drawing>
            </w:r>
          </w:p>
        </w:tc>
        <w:tc>
          <w:tcPr>
            <w:tcW w:w="3879" w:type="dxa"/>
          </w:tcPr>
          <w:p w14:paraId="42B78907">
            <w:pPr>
              <w:spacing w:before="160" w:after="0"/>
              <w:jc w:val="center"/>
            </w:pPr>
            <w:r>
              <w:rPr>
                <w:lang w:bidi="ne-NP"/>
              </w:rPr>
              <w:drawing>
                <wp:inline distT="0" distB="0" distL="0" distR="0">
                  <wp:extent cx="1885315" cy="2511425"/>
                  <wp:effectExtent l="0" t="0" r="635" b="3175"/>
                  <wp:docPr id="9" name="Picture 9" descr="C:\Rashuwa\Action report\WhatsApp Image 2026-09-18 at 7.27.41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Rashuwa\Action report\WhatsApp Image 2026-09-18 at 7.27.41 AM.jpe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1918308" cy="2555047"/>
                          </a:xfrm>
                          <a:prstGeom prst="rect">
                            <a:avLst/>
                          </a:prstGeom>
                          <a:noFill/>
                          <a:ln>
                            <a:noFill/>
                          </a:ln>
                        </pic:spPr>
                      </pic:pic>
                    </a:graphicData>
                  </a:graphic>
                </wp:inline>
              </w:drawing>
            </w:r>
          </w:p>
        </w:tc>
      </w:tr>
      <w:tr w14:paraId="60952EC0">
        <w:tc>
          <w:tcPr>
            <w:tcW w:w="9825" w:type="dxa"/>
            <w:gridSpan w:val="2"/>
          </w:tcPr>
          <w:p w14:paraId="5A8EAF74">
            <w:pPr>
              <w:spacing w:before="160" w:after="0"/>
              <w:jc w:val="center"/>
              <w:rPr>
                <w:b/>
                <w:bCs/>
                <w:lang w:bidi="ne-NP"/>
              </w:rPr>
            </w:pPr>
            <w:r>
              <w:rPr>
                <w:b/>
                <w:bCs/>
              </w:rPr>
              <w:t>From Commitment to Action: DiMaNN Member CSN Responding in Nuwakot</w:t>
            </w:r>
          </w:p>
        </w:tc>
      </w:tr>
    </w:tbl>
    <w:p w14:paraId="514C04B2">
      <w:pPr>
        <w:spacing w:before="160" w:after="0"/>
        <w:jc w:val="center"/>
      </w:pPr>
    </w:p>
    <w:tbl>
      <w:tblPr>
        <w:tblStyle w:val="36"/>
        <w:tblW w:w="1011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056"/>
        <w:gridCol w:w="5057"/>
      </w:tblGrid>
      <w:tr w14:paraId="72F32AEC">
        <w:trPr>
          <w:trHeight w:val="6742" w:hRule="atLeast"/>
        </w:trPr>
        <w:tc>
          <w:tcPr>
            <w:tcW w:w="5056" w:type="dxa"/>
          </w:tcPr>
          <w:p w14:paraId="4A9FE242">
            <w:pPr>
              <w:spacing w:before="160" w:after="0"/>
              <w:jc w:val="center"/>
            </w:pPr>
            <w:r>
              <w:rPr>
                <w:lang w:bidi="ne-NP"/>
              </w:rPr>
              <w:t>3</w:t>
            </w:r>
            <w:r>
              <w:rPr>
                <w:lang w:bidi="ne-NP"/>
              </w:rPr>
              <w:drawing>
                <wp:inline distT="0" distB="0" distL="0" distR="0">
                  <wp:extent cx="2882900" cy="3840480"/>
                  <wp:effectExtent l="0" t="0" r="0" b="7620"/>
                  <wp:docPr id="10" name="Picture 10" descr="C:\Rashuwa\Action report\WhatsApp Image 2026-09-18 at 7.27.41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Rashuwa\Action report\WhatsApp Image 2026-09-18 at 7.27.41 AM.jpe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2883408" cy="3840489"/>
                          </a:xfrm>
                          <a:prstGeom prst="rect">
                            <a:avLst/>
                          </a:prstGeom>
                          <a:noFill/>
                          <a:ln>
                            <a:noFill/>
                          </a:ln>
                        </pic:spPr>
                      </pic:pic>
                    </a:graphicData>
                  </a:graphic>
                </wp:inline>
              </w:drawing>
            </w:r>
          </w:p>
        </w:tc>
        <w:tc>
          <w:tcPr>
            <w:tcW w:w="5057" w:type="dxa"/>
          </w:tcPr>
          <w:p w14:paraId="65452ED2">
            <w:pPr>
              <w:spacing w:before="160" w:after="0"/>
              <w:jc w:val="center"/>
            </w:pPr>
            <w:r>
              <w:rPr>
                <w:lang w:bidi="ne-NP"/>
              </w:rPr>
              <w:drawing>
                <wp:inline distT="0" distB="0" distL="0" distR="0">
                  <wp:extent cx="2880360" cy="3840480"/>
                  <wp:effectExtent l="0" t="0" r="0" b="7620"/>
                  <wp:docPr id="11" name="Picture 11" descr="C:\Rashuwa\Action report\WhatsApp Image 2026-09-18 at 7.32.54 AM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Rashuwa\Action report\WhatsApp Image 2026-09-18 at 7.32.54 AM1.jpe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2880360" cy="3840480"/>
                          </a:xfrm>
                          <a:prstGeom prst="rect">
                            <a:avLst/>
                          </a:prstGeom>
                          <a:noFill/>
                          <a:ln>
                            <a:noFill/>
                          </a:ln>
                        </pic:spPr>
                      </pic:pic>
                    </a:graphicData>
                  </a:graphic>
                </wp:inline>
              </w:drawing>
            </w:r>
          </w:p>
        </w:tc>
      </w:tr>
      <w:tr w14:paraId="4250ED3F">
        <w:trPr>
          <w:trHeight w:val="6381" w:hRule="atLeast"/>
        </w:trPr>
        <w:tc>
          <w:tcPr>
            <w:tcW w:w="5056" w:type="dxa"/>
          </w:tcPr>
          <w:p w14:paraId="24A9E209">
            <w:pPr>
              <w:spacing w:before="160" w:after="0"/>
              <w:jc w:val="center"/>
            </w:pPr>
            <w:r>
              <w:rPr>
                <w:lang w:bidi="ne-NP"/>
              </w:rPr>
              <w:drawing>
                <wp:inline distT="0" distB="0" distL="0" distR="0">
                  <wp:extent cx="2725420" cy="3639185"/>
                  <wp:effectExtent l="0" t="0" r="0" b="0"/>
                  <wp:docPr id="12" name="Picture 12" descr="C:\Rashuwa\Action report\WhatsApp Image 2026-09-18 at 7.32.55 AM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Rashuwa\Action report\WhatsApp Image 2026-09-18 at 7.32.55 AM3.jpe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2732183" cy="3647723"/>
                          </a:xfrm>
                          <a:prstGeom prst="rect">
                            <a:avLst/>
                          </a:prstGeom>
                          <a:noFill/>
                          <a:ln>
                            <a:noFill/>
                          </a:ln>
                        </pic:spPr>
                      </pic:pic>
                    </a:graphicData>
                  </a:graphic>
                </wp:inline>
              </w:drawing>
            </w:r>
          </w:p>
        </w:tc>
        <w:tc>
          <w:tcPr>
            <w:tcW w:w="5057" w:type="dxa"/>
          </w:tcPr>
          <w:p w14:paraId="578797AC">
            <w:pPr>
              <w:spacing w:before="160" w:after="0"/>
              <w:jc w:val="center"/>
            </w:pPr>
            <w:r>
              <w:rPr>
                <w:lang w:bidi="ne-NP"/>
              </w:rPr>
              <w:drawing>
                <wp:inline distT="0" distB="0" distL="0" distR="0">
                  <wp:extent cx="2743200" cy="3657600"/>
                  <wp:effectExtent l="0" t="0" r="0" b="0"/>
                  <wp:docPr id="13" name="Picture 13" descr="C:\Rashuwa\Action report\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C:\Rashuwa\Action report\2.jpe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2743200" cy="3657600"/>
                          </a:xfrm>
                          <a:prstGeom prst="rect">
                            <a:avLst/>
                          </a:prstGeom>
                          <a:noFill/>
                          <a:ln>
                            <a:noFill/>
                          </a:ln>
                        </pic:spPr>
                      </pic:pic>
                    </a:graphicData>
                  </a:graphic>
                </wp:inline>
              </w:drawing>
            </w:r>
          </w:p>
        </w:tc>
      </w:tr>
      <w:tr w14:paraId="314D4374">
        <w:trPr>
          <w:trHeight w:val="412" w:hRule="atLeast"/>
        </w:trPr>
        <w:tc>
          <w:tcPr>
            <w:tcW w:w="10113" w:type="dxa"/>
            <w:gridSpan w:val="2"/>
          </w:tcPr>
          <w:p w14:paraId="71422209">
            <w:pPr>
              <w:spacing w:before="160" w:after="0"/>
              <w:jc w:val="center"/>
              <w:rPr>
                <w:b/>
                <w:bCs/>
              </w:rPr>
            </w:pPr>
            <w:r>
              <w:rPr>
                <w:b/>
                <w:bCs/>
                <w:sz w:val="18"/>
                <w:szCs w:val="20"/>
              </w:rPr>
              <w:t>From Timure to Swayambhu: Listening to the Voices of Rasuwa’s Flood-Displaced Families — DiMaNN Field Visit</w:t>
            </w:r>
          </w:p>
        </w:tc>
      </w:tr>
    </w:tbl>
    <w:p w14:paraId="2A148D3A">
      <w:pPr>
        <w:spacing w:before="160" w:after="0"/>
        <w:jc w:val="center"/>
      </w:pPr>
    </w:p>
    <w:p w14:paraId="12C2B985">
      <w:pPr>
        <w:spacing w:before="160" w:after="0"/>
        <w:jc w:val="center"/>
      </w:pPr>
    </w:p>
    <w:tbl>
      <w:tblPr>
        <w:tblStyle w:val="3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299"/>
        <w:gridCol w:w="4536"/>
      </w:tblGrid>
      <w:tr w14:paraId="2B97F5B4">
        <w:trPr>
          <w:trHeight w:val="3133" w:hRule="atLeast"/>
        </w:trPr>
        <w:tc>
          <w:tcPr>
            <w:tcW w:w="5299" w:type="dxa"/>
          </w:tcPr>
          <w:p w14:paraId="61C4A562">
            <w:pPr>
              <w:spacing w:before="160" w:after="0"/>
              <w:jc w:val="center"/>
            </w:pPr>
            <w:r>
              <w:rPr>
                <w:lang w:bidi="ne-NP"/>
              </w:rPr>
              <w:drawing>
                <wp:inline distT="0" distB="0" distL="0" distR="0">
                  <wp:extent cx="2806700" cy="1578610"/>
                  <wp:effectExtent l="0" t="0" r="0" b="2540"/>
                  <wp:docPr id="17" name="Picture 17" descr="C:\Rashuwa\Action report\Dhading\WhatsApp Image 2026-09-18 at 7.47.34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C:\Rashuwa\Action report\Dhading\WhatsApp Image 2026-09-18 at 7.47.34 AM.jpe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2830357" cy="1591841"/>
                          </a:xfrm>
                          <a:prstGeom prst="rect">
                            <a:avLst/>
                          </a:prstGeom>
                          <a:noFill/>
                          <a:ln>
                            <a:noFill/>
                          </a:ln>
                        </pic:spPr>
                      </pic:pic>
                    </a:graphicData>
                  </a:graphic>
                </wp:inline>
              </w:drawing>
            </w:r>
          </w:p>
        </w:tc>
        <w:tc>
          <w:tcPr>
            <w:tcW w:w="4536" w:type="dxa"/>
          </w:tcPr>
          <w:p w14:paraId="19040A17">
            <w:pPr>
              <w:spacing w:before="160" w:after="0"/>
              <w:jc w:val="center"/>
            </w:pPr>
            <w:r>
              <w:rPr>
                <w:lang w:bidi="ne-NP"/>
              </w:rPr>
              <w:drawing>
                <wp:inline distT="0" distB="0" distL="0" distR="0">
                  <wp:extent cx="1566545" cy="1566545"/>
                  <wp:effectExtent l="0" t="0" r="0" b="0"/>
                  <wp:docPr id="18" name="Picture 18" descr="C:\Rashuwa\Action report\Dhading\WhatsApp Image 2026-09-18 at 7.57.42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C:\Rashuwa\Action report\Dhading\WhatsApp Image 2026-09-18 at 7.57.42 AM.jpe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1576316" cy="1576316"/>
                          </a:xfrm>
                          <a:prstGeom prst="rect">
                            <a:avLst/>
                          </a:prstGeom>
                          <a:noFill/>
                          <a:ln>
                            <a:noFill/>
                          </a:ln>
                        </pic:spPr>
                      </pic:pic>
                    </a:graphicData>
                  </a:graphic>
                </wp:inline>
              </w:drawing>
            </w:r>
          </w:p>
        </w:tc>
      </w:tr>
      <w:tr w14:paraId="7A348455">
        <w:trPr>
          <w:trHeight w:val="4005" w:hRule="atLeast"/>
        </w:trPr>
        <w:tc>
          <w:tcPr>
            <w:tcW w:w="5299" w:type="dxa"/>
          </w:tcPr>
          <w:p w14:paraId="35F611BA">
            <w:pPr>
              <w:spacing w:before="160" w:after="0"/>
              <w:jc w:val="center"/>
            </w:pPr>
            <w:r>
              <w:rPr>
                <w:lang w:bidi="ne-NP"/>
              </w:rPr>
              <w:drawing>
                <wp:inline distT="0" distB="0" distL="0" distR="0">
                  <wp:extent cx="2657475" cy="2657475"/>
                  <wp:effectExtent l="0" t="0" r="9525" b="9525"/>
                  <wp:docPr id="20" name="Picture 20" descr="C:\Rashuwa\Action report\Dhading\WhatsApp Image 2026-09-18 at 7.49.19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C:\Rashuwa\Action report\Dhading\WhatsApp Image 2026-09-18 at 7.49.19 AM.jpe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2659111" cy="2659111"/>
                          </a:xfrm>
                          <a:prstGeom prst="rect">
                            <a:avLst/>
                          </a:prstGeom>
                          <a:noFill/>
                          <a:ln>
                            <a:noFill/>
                          </a:ln>
                        </pic:spPr>
                      </pic:pic>
                    </a:graphicData>
                  </a:graphic>
                </wp:inline>
              </w:drawing>
            </w:r>
          </w:p>
        </w:tc>
        <w:tc>
          <w:tcPr>
            <w:tcW w:w="4536" w:type="dxa"/>
          </w:tcPr>
          <w:p w14:paraId="46E08861">
            <w:pPr>
              <w:spacing w:before="160" w:after="0"/>
              <w:jc w:val="center"/>
            </w:pPr>
            <w:r>
              <w:rPr>
                <w:lang w:bidi="ne-NP"/>
              </w:rPr>
              <w:drawing>
                <wp:inline distT="0" distB="0" distL="0" distR="0">
                  <wp:extent cx="2743200" cy="2743200"/>
                  <wp:effectExtent l="0" t="0" r="0" b="0"/>
                  <wp:docPr id="19" name="Picture 19" descr="C:\Rashuwa\Action report\Dhading\WhatsApp Image 2026-09-18 at 7.57.42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C:\Rashuwa\Action report\Dhading\WhatsApp Image 2026-09-18 at 7.57.42 AM.jpe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2743200" cy="2743200"/>
                          </a:xfrm>
                          <a:prstGeom prst="rect">
                            <a:avLst/>
                          </a:prstGeom>
                          <a:noFill/>
                          <a:ln>
                            <a:noFill/>
                          </a:ln>
                        </pic:spPr>
                      </pic:pic>
                    </a:graphicData>
                  </a:graphic>
                </wp:inline>
              </w:drawing>
            </w:r>
          </w:p>
        </w:tc>
      </w:tr>
      <w:tr w14:paraId="23974647">
        <w:trPr>
          <w:trHeight w:val="302" w:hRule="atLeast"/>
        </w:trPr>
        <w:tc>
          <w:tcPr>
            <w:tcW w:w="9835" w:type="dxa"/>
            <w:gridSpan w:val="2"/>
          </w:tcPr>
          <w:p w14:paraId="73740833">
            <w:pPr>
              <w:spacing w:before="160" w:after="0"/>
              <w:jc w:val="center"/>
              <w:rPr>
                <w:b/>
                <w:bCs/>
              </w:rPr>
            </w:pPr>
            <w:r>
              <w:rPr>
                <w:b/>
                <w:bCs/>
              </w:rPr>
              <w:t>Community-Centred Humanitarian Action — Focus Nepal, DiMaNN Member, Dhading</w:t>
            </w:r>
          </w:p>
        </w:tc>
      </w:tr>
    </w:tbl>
    <w:p w14:paraId="46DF288F">
      <w:pPr>
        <w:spacing w:before="160" w:after="0"/>
        <w:jc w:val="center"/>
      </w:pPr>
    </w:p>
    <w:tbl>
      <w:tblPr>
        <w:tblStyle w:val="3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912"/>
        <w:gridCol w:w="4913"/>
      </w:tblGrid>
      <w:tr w14:paraId="06A4FC53">
        <w:tc>
          <w:tcPr>
            <w:tcW w:w="4912" w:type="dxa"/>
          </w:tcPr>
          <w:p w14:paraId="5DCA1E5B">
            <w:pPr>
              <w:spacing w:before="160" w:after="0"/>
              <w:jc w:val="center"/>
            </w:pPr>
            <w:r>
              <w:rPr>
                <w:lang w:bidi="ne-NP"/>
              </w:rPr>
              <w:drawing>
                <wp:inline distT="0" distB="0" distL="0" distR="0">
                  <wp:extent cx="1341120" cy="1788160"/>
                  <wp:effectExtent l="0" t="0" r="0" b="2540"/>
                  <wp:docPr id="21" name="Picture 21" descr="C:\Rashuwa\Action report\rasuwa\WhatsApp Image 2026-09-18 at 7.40.07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C:\Rashuwa\Action report\rasuwa\WhatsApp Image 2026-09-18 at 7.40.07 AM.jpe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1358180" cy="1810907"/>
                          </a:xfrm>
                          <a:prstGeom prst="rect">
                            <a:avLst/>
                          </a:prstGeom>
                          <a:noFill/>
                          <a:ln>
                            <a:noFill/>
                          </a:ln>
                        </pic:spPr>
                      </pic:pic>
                    </a:graphicData>
                  </a:graphic>
                </wp:inline>
              </w:drawing>
            </w:r>
          </w:p>
        </w:tc>
        <w:tc>
          <w:tcPr>
            <w:tcW w:w="4913" w:type="dxa"/>
          </w:tcPr>
          <w:p w14:paraId="50B81E5A">
            <w:pPr>
              <w:spacing w:before="160" w:after="0"/>
              <w:jc w:val="center"/>
            </w:pPr>
            <w:r>
              <w:rPr>
                <w:lang w:bidi="ne-NP"/>
              </w:rPr>
              <w:drawing>
                <wp:inline distT="0" distB="0" distL="0" distR="0">
                  <wp:extent cx="2430145" cy="1822450"/>
                  <wp:effectExtent l="0" t="0" r="8255" b="6350"/>
                  <wp:docPr id="22" name="Picture 22" descr="C:\Rashuwa\Action report\rasuwa\WhatsApp Image 2026-09-18 at 7.45.48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C:\Rashuwa\Action report\rasuwa\WhatsApp Image 2026-09-18 at 7.45.48 AM.jpe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a:off x="0" y="0"/>
                            <a:ext cx="2437246" cy="1827936"/>
                          </a:xfrm>
                          <a:prstGeom prst="rect">
                            <a:avLst/>
                          </a:prstGeom>
                          <a:noFill/>
                          <a:ln>
                            <a:noFill/>
                          </a:ln>
                        </pic:spPr>
                      </pic:pic>
                    </a:graphicData>
                  </a:graphic>
                </wp:inline>
              </w:drawing>
            </w:r>
          </w:p>
        </w:tc>
      </w:tr>
      <w:tr w14:paraId="5A9DC550">
        <w:tc>
          <w:tcPr>
            <w:tcW w:w="9825" w:type="dxa"/>
            <w:gridSpan w:val="2"/>
          </w:tcPr>
          <w:p w14:paraId="3D4A7360">
            <w:pPr>
              <w:spacing w:before="160" w:after="0"/>
              <w:jc w:val="center"/>
            </w:pPr>
            <w:r>
              <w:t>Standing with Families in Grief — Relief Package Distribution to Rasuwa Flood-Displaced Kriya Putri Families in Kathmandu</w:t>
            </w:r>
          </w:p>
        </w:tc>
      </w:tr>
    </w:tbl>
    <w:p w14:paraId="149CC507">
      <w:pPr>
        <w:spacing w:before="160" w:after="0"/>
        <w:jc w:val="center"/>
      </w:pPr>
    </w:p>
    <w:p w14:paraId="521E35BF">
      <w:pPr>
        <w:spacing w:before="160" w:after="0"/>
        <w:jc w:val="center"/>
      </w:pPr>
    </w:p>
    <w:p w14:paraId="13F10779">
      <w:pPr>
        <w:shd w:val="clear" w:color="auto" w:fill="DBE5F1" w:themeFill="accent1" w:themeFillTint="33"/>
        <w:spacing w:before="160" w:after="0"/>
        <w:jc w:val="center"/>
        <w:rPr>
          <w:rFonts w:hint="eastAsia"/>
        </w:rPr>
      </w:pPr>
      <w:r>
        <w:t>N</w:t>
      </w:r>
      <w:r>
        <w:rPr>
          <w:rFonts w:hint="eastAsia"/>
        </w:rPr>
        <w:t>ational Disaster Management Network Nepal (DiMaNN Nepal), Kathmandu, Nepal ,.Mahalaxmi-04, Imadol, Lalitpur</w:t>
      </w:r>
    </w:p>
    <w:p w14:paraId="5CA73031">
      <w:pPr>
        <w:shd w:val="clear" w:color="auto" w:fill="DBE5F1" w:themeFill="accent1" w:themeFillTint="33"/>
        <w:spacing w:before="160" w:after="0"/>
        <w:jc w:val="center"/>
        <w:rPr>
          <w:rFonts w:hint="default"/>
          <w:lang w:val="en-US"/>
        </w:rPr>
      </w:pPr>
      <w:r>
        <w:rPr>
          <w:rFonts w:hint="eastAsia"/>
        </w:rPr>
        <w:t>Contact No: + / +9779851098744</w:t>
      </w:r>
      <w:r>
        <w:rPr>
          <w:rFonts w:hint="default"/>
          <w:lang w:val="en-US"/>
        </w:rPr>
        <w:t>, 5200319 S</w:t>
      </w:r>
      <w:bookmarkStart w:id="0" w:name="_GoBack"/>
      <w:bookmarkEnd w:id="0"/>
    </w:p>
    <w:p w14:paraId="7489A1B6">
      <w:pPr>
        <w:shd w:val="clear" w:color="auto" w:fill="DBE5F1" w:themeFill="accent1" w:themeFillTint="33"/>
        <w:spacing w:before="160" w:after="0"/>
        <w:jc w:val="center"/>
        <w:rPr>
          <w:rFonts w:hint="eastAsia"/>
        </w:rPr>
      </w:pPr>
      <w:r>
        <w:rPr>
          <w:rFonts w:hint="eastAsia"/>
        </w:rPr>
        <w:t>Email: network.dimann@gmail.com / dimann@dimann.org.np</w:t>
      </w:r>
    </w:p>
    <w:sectPr>
      <w:headerReference r:id="rId5" w:type="default"/>
      <w:footerReference r:id="rId6" w:type="default"/>
      <w:pgSz w:w="11909" w:h="16834"/>
      <w:pgMar w:top="936" w:right="1037" w:bottom="936" w:left="1037" w:header="432" w:footer="432"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Arial">
    <w:panose1 w:val="020B0604020202090204"/>
    <w:charset w:val="00"/>
    <w:family w:val="swiss"/>
    <w:pitch w:val="default"/>
    <w:sig w:usb0="E0000AFF" w:usb1="00007843" w:usb2="00000001" w:usb3="00000000" w:csb0="400001BF" w:csb1="DFF70000"/>
  </w:font>
  <w:font w:name="黑体">
    <w:altName w:val="黑体-简"/>
    <w:panose1 w:val="02010600030101010101"/>
    <w:charset w:val="00"/>
    <w:family w:val="auto"/>
    <w:pitch w:val="default"/>
    <w:sig w:usb0="00000001" w:usb1="080E0000" w:usb2="00000010" w:usb3="00000000" w:csb0="00040000" w:csb1="00000000"/>
  </w:font>
  <w:font w:name="Courier New">
    <w:panose1 w:val="02070409020205090404"/>
    <w:charset w:val="00"/>
    <w:family w:val="modern"/>
    <w:pitch w:val="default"/>
    <w:sig w:usb0="E0000AFF" w:usb1="40007843" w:usb2="00000001" w:usb3="00000000" w:csb0="400001BF" w:csb1="DFF7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宋体-简"/>
    <w:panose1 w:val="00000000000000000000"/>
    <w:charset w:val="86"/>
    <w:family w:val="auto"/>
    <w:pitch w:val="default"/>
    <w:sig w:usb0="00000000" w:usb1="00000000" w:usb2="00000000" w:usb3="00000000" w:csb0="00000000" w:csb1="00000000"/>
  </w:font>
  <w:font w:name="Mangal">
    <w:altName w:val="苹方-简"/>
    <w:panose1 w:val="00000400000000000000"/>
    <w:charset w:val="00"/>
    <w:family w:val="roman"/>
    <w:pitch w:val="default"/>
    <w:sig w:usb0="00000000" w:usb1="00000000" w:usb2="00000000" w:usb3="00000000" w:csb0="00000001" w:csb1="00000000"/>
  </w:font>
  <w:font w:name="Cambria">
    <w:altName w:val="苹方-简"/>
    <w:panose1 w:val="02040503050406030204"/>
    <w:charset w:val="00"/>
    <w:family w:val="roman"/>
    <w:pitch w:val="default"/>
    <w:sig w:usb0="00000000" w:usb1="00000000" w:usb2="00000000" w:usb3="00000000" w:csb0="0000009F" w:csb1="00000000"/>
  </w:font>
  <w:font w:name="ＭＳ 明朝">
    <w:altName w:val="Hiragino Sans"/>
    <w:panose1 w:val="00000000000000000000"/>
    <w:charset w:val="86"/>
    <w:family w:val="auto"/>
    <w:pitch w:val="default"/>
    <w:sig w:usb0="00000000" w:usb1="00000000" w:usb2="00000000" w:usb3="00000000" w:csb0="00000000" w:csb1="00000000"/>
  </w:font>
  <w:font w:name="Aptos">
    <w:altName w:val="苹方-简"/>
    <w:panose1 w:val="00000000000000000000"/>
    <w:charset w:val="00"/>
    <w:family w:val="roman"/>
    <w:pitch w:val="default"/>
    <w:sig w:usb0="00000000" w:usb1="00000000" w:usb2="00000000" w:usb3="00000000" w:csb0="00000000" w:csb1="00000000"/>
  </w:font>
  <w:font w:name="ＭＳ ゴシック">
    <w:altName w:val="苹方-简"/>
    <w:panose1 w:val="00000000000000000000"/>
    <w:charset w:val="00"/>
    <w:family w:val="auto"/>
    <w:pitch w:val="default"/>
    <w:sig w:usb0="00000000" w:usb1="00000000" w:usb2="00000000" w:usb3="00000000" w:csb0="00000000" w:csb1="00000000"/>
  </w:font>
  <w:font w:name="Symbol">
    <w:altName w:val="Kingsoft Sign"/>
    <w:panose1 w:val="05050102010706020507"/>
    <w:charset w:val="02"/>
    <w:family w:val="roman"/>
    <w:pitch w:val="default"/>
    <w:sig w:usb0="00000000" w:usb1="00000000" w:usb2="00000000" w:usb3="00000000" w:csb0="80000000" w:csb1="00000000"/>
  </w:font>
  <w:font w:name="Courier">
    <w:altName w:val="苹方-简"/>
    <w:panose1 w:val="02070409020205020404"/>
    <w:charset w:val="00"/>
    <w:family w:val="auto"/>
    <w:pitch w:val="default"/>
    <w:sig w:usb0="00000000" w:usb1="00000000" w:usb2="00000000" w:usb3="00000000" w:csb0="00000001" w:csb1="00000000"/>
  </w:font>
  <w:font w:name="Aptos Display">
    <w:altName w:val="苹方-简"/>
    <w:panose1 w:val="00000000000000000000"/>
    <w:charset w:val="00"/>
    <w:family w:val="roman"/>
    <w:pitch w:val="default"/>
    <w:sig w:usb0="00000000" w:usb1="00000000" w:usb2="00000000" w:usb3="00000000" w:csb0="00000000" w:csb1="00000000"/>
  </w:font>
  <w:font w:name="ＭＳ 明朝">
    <w:altName w:val="Hiragino Sans"/>
    <w:panose1 w:val="00000000000000000000"/>
    <w:charset w:val="00"/>
    <w:family w:val="auto"/>
    <w:pitch w:val="default"/>
    <w:sig w:usb0="00000000" w:usb1="00000000" w:usb2="00000000" w:usb3="00000000" w:csb0="00000000" w:csb1="00000000"/>
  </w:font>
  <w:font w:name="Hiragino Sans">
    <w:panose1 w:val="020B0300000000000000"/>
    <w:charset w:val="80"/>
    <w:family w:val="auto"/>
    <w:pitch w:val="default"/>
    <w:sig w:usb0="E00002FF" w:usb1="7AE7FFFF" w:usb2="00000012" w:usb3="00000000" w:csb0="0002000D" w:csb1="00000000"/>
  </w:font>
  <w:font w:name="苹方-简">
    <w:altName w:val="Times New Roman"/>
    <w:panose1 w:val="020B0600000000000000"/>
    <w:charset w:val="00"/>
    <w:family w:val="auto"/>
    <w:pitch w:val="default"/>
    <w:sig w:usb0="A00002FF" w:usb1="7ACFFDFB" w:usb2="00000017" w:usb3="00000000" w:csb0="00040001"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 w:name="宋体-简">
    <w:panose1 w:val="02010800040101010101"/>
    <w:charset w:val="86"/>
    <w:family w:val="auto"/>
    <w:pitch w:val="default"/>
    <w:sig w:usb0="00000001" w:usb1="080F0000" w:usb2="00000000" w:usb3="00000000" w:csb0="00040000" w:csb1="00000000"/>
  </w:font>
  <w:font w:name="黑体-简">
    <w:panose1 w:val="02000000000000000000"/>
    <w:charset w:val="86"/>
    <w:family w:val="auto"/>
    <w:pitch w:val="default"/>
    <w:sig w:usb0="8000002F" w:usb1="0800004A" w:usb2="00000000" w:usb3="00000000" w:csb0="203E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19825F">
    <w:pPr>
      <w:pStyle w:val="18"/>
      <w:jc w:val="center"/>
      <w:rPr>
        <w:rFonts w:hint="eastAsia"/>
      </w:rPr>
    </w:pPr>
    <w:r>
      <w:rPr>
        <w:color w:val="585858"/>
        <w:sz w:val="15"/>
      </w:rPr>
      <w:t>Civil Society Dialogue • Kathmandu • 16 September 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CD107E">
    <w:pPr>
      <w:pStyle w:val="19"/>
      <w:jc w:val="right"/>
      <w:rPr>
        <w:rFonts w:hint="eastAsia"/>
      </w:rPr>
    </w:pPr>
    <w:r>
      <w:rPr>
        <w:color w:val="585858"/>
        <w:sz w:val="15"/>
      </w:rPr>
      <w:t>RASUWA–BHOTEKOSHI FLOOD RESPONSE 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3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30"/>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5"/>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29"/>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23"/>
      <w:lvlText w:val=""/>
      <w:lvlJc w:val="left"/>
      <w:pPr>
        <w:tabs>
          <w:tab w:val="left" w:pos="360"/>
        </w:tabs>
        <w:ind w:left="360" w:hanging="360"/>
      </w:pPr>
      <w:rPr>
        <w:rFonts w:hint="default" w:ascii="Symbol" w:hAnsi="Symbol"/>
      </w:rPr>
    </w:lvl>
  </w:abstractNum>
  <w:num w:numId="1">
    <w:abstractNumId w:val="5"/>
  </w:num>
  <w:num w:numId="2">
    <w:abstractNumId w:val="3"/>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0768C5"/>
    <w:rsid w:val="0015074B"/>
    <w:rsid w:val="002359F4"/>
    <w:rsid w:val="0029639D"/>
    <w:rsid w:val="002B4EAD"/>
    <w:rsid w:val="002F2747"/>
    <w:rsid w:val="00326F90"/>
    <w:rsid w:val="00450520"/>
    <w:rsid w:val="005563EE"/>
    <w:rsid w:val="00586BE8"/>
    <w:rsid w:val="00593271"/>
    <w:rsid w:val="005D6761"/>
    <w:rsid w:val="00627BC8"/>
    <w:rsid w:val="006B26B1"/>
    <w:rsid w:val="007B25AD"/>
    <w:rsid w:val="00803C59"/>
    <w:rsid w:val="008965BC"/>
    <w:rsid w:val="008B57AE"/>
    <w:rsid w:val="00995F44"/>
    <w:rsid w:val="00A25DE6"/>
    <w:rsid w:val="00AA1D8D"/>
    <w:rsid w:val="00AF0412"/>
    <w:rsid w:val="00AF48FD"/>
    <w:rsid w:val="00B47730"/>
    <w:rsid w:val="00B75301"/>
    <w:rsid w:val="00BD1FAC"/>
    <w:rsid w:val="00CA7257"/>
    <w:rsid w:val="00CB0664"/>
    <w:rsid w:val="00D05BAD"/>
    <w:rsid w:val="00D33535"/>
    <w:rsid w:val="00D54D8B"/>
    <w:rsid w:val="00D96DA2"/>
    <w:rsid w:val="00DF557B"/>
    <w:rsid w:val="00E06947"/>
    <w:rsid w:val="00FC693F"/>
    <w:rsid w:val="1DBA46D8"/>
    <w:rsid w:val="FF87765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bidi="ne-N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00" w:line="259" w:lineRule="auto"/>
    </w:pPr>
    <w:rPr>
      <w:rFonts w:ascii="Aptos" w:hAnsi="Aptos" w:eastAsiaTheme="minorEastAsia" w:cstheme="minorBidi"/>
      <w:sz w:val="20"/>
      <w:szCs w:val="22"/>
      <w:lang w:val="en-US" w:eastAsia="en-US" w:bidi="ar-SA"/>
    </w:rPr>
  </w:style>
  <w:style w:type="paragraph" w:styleId="2">
    <w:name w:val="heading 1"/>
    <w:basedOn w:val="1"/>
    <w:next w:val="1"/>
    <w:link w:val="139"/>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140"/>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141"/>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151"/>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52"/>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3"/>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4"/>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5"/>
    <w:semiHidden/>
    <w:unhideWhenUsed/>
    <w:qFormat/>
    <w:uiPriority w:val="9"/>
    <w:pPr>
      <w:keepNext/>
      <w:keepLines/>
      <w:spacing w:before="200" w:after="0"/>
      <w:outlineLvl w:val="7"/>
    </w:pPr>
    <w:rPr>
      <w:rFonts w:asciiTheme="majorHAnsi" w:hAnsiTheme="majorHAnsi" w:eastAsiaTheme="majorEastAsia" w:cstheme="majorBidi"/>
      <w:color w:val="4F81BD" w:themeColor="accent1"/>
      <w:szCs w:val="20"/>
      <w14:textFill>
        <w14:solidFill>
          <w14:schemeClr w14:val="accent1"/>
        </w14:solidFill>
      </w14:textFill>
    </w:rPr>
  </w:style>
  <w:style w:type="paragraph" w:styleId="10">
    <w:name w:val="heading 9"/>
    <w:basedOn w:val="1"/>
    <w:next w:val="1"/>
    <w:link w:val="156"/>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Cs w:val="20"/>
      <w14:textFill>
        <w14:solidFill>
          <w14:schemeClr w14:val="tx1">
            <w14:lumMod w14:val="75000"/>
            <w14:lumOff w14:val="25000"/>
          </w14:schemeClr>
        </w14:solidFill>
      </w14:textFil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Body Text"/>
    <w:basedOn w:val="1"/>
    <w:link w:val="145"/>
    <w:unhideWhenUsed/>
    <w:uiPriority w:val="99"/>
    <w:pPr>
      <w:spacing w:after="120"/>
    </w:pPr>
  </w:style>
  <w:style w:type="paragraph" w:styleId="14">
    <w:name w:val="Body Text 2"/>
    <w:basedOn w:val="1"/>
    <w:link w:val="146"/>
    <w:unhideWhenUsed/>
    <w:uiPriority w:val="99"/>
    <w:pPr>
      <w:spacing w:after="120" w:line="480" w:lineRule="auto"/>
    </w:pPr>
  </w:style>
  <w:style w:type="paragraph" w:styleId="15">
    <w:name w:val="Body Text 3"/>
    <w:basedOn w:val="1"/>
    <w:link w:val="147"/>
    <w:unhideWhenUsed/>
    <w:uiPriority w:val="99"/>
    <w:pPr>
      <w:spacing w:after="120"/>
    </w:pPr>
    <w:rPr>
      <w:sz w:val="16"/>
      <w:szCs w:val="16"/>
    </w:r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character" w:styleId="17">
    <w:name w:val="Emphasis"/>
    <w:basedOn w:val="11"/>
    <w:qFormat/>
    <w:uiPriority w:val="20"/>
    <w:rPr>
      <w:i/>
      <w:iCs/>
    </w:rPr>
  </w:style>
  <w:style w:type="paragraph" w:styleId="18">
    <w:name w:val="footer"/>
    <w:basedOn w:val="1"/>
    <w:link w:val="137"/>
    <w:unhideWhenUsed/>
    <w:uiPriority w:val="99"/>
    <w:pPr>
      <w:tabs>
        <w:tab w:val="center" w:pos="4680"/>
        <w:tab w:val="right" w:pos="9360"/>
      </w:tabs>
      <w:spacing w:after="0" w:line="240" w:lineRule="auto"/>
    </w:pPr>
  </w:style>
  <w:style w:type="paragraph" w:styleId="19">
    <w:name w:val="header"/>
    <w:basedOn w:val="1"/>
    <w:link w:val="136"/>
    <w:unhideWhenUsed/>
    <w:uiPriority w:val="99"/>
    <w:pPr>
      <w:tabs>
        <w:tab w:val="center" w:pos="4680"/>
        <w:tab w:val="right" w:pos="9360"/>
      </w:tabs>
      <w:spacing w:after="0" w:line="240" w:lineRule="auto"/>
    </w:pPr>
  </w:style>
  <w:style w:type="paragraph" w:styleId="20">
    <w:name w:val="List"/>
    <w:basedOn w:val="1"/>
    <w:unhideWhenUsed/>
    <w:uiPriority w:val="99"/>
    <w:pPr>
      <w:ind w:left="360" w:hanging="360"/>
      <w:contextualSpacing/>
    </w:pPr>
  </w:style>
  <w:style w:type="paragraph" w:styleId="21">
    <w:name w:val="List 2"/>
    <w:basedOn w:val="1"/>
    <w:unhideWhenUsed/>
    <w:uiPriority w:val="99"/>
    <w:pPr>
      <w:ind w:left="720" w:hanging="360"/>
      <w:contextualSpacing/>
    </w:pPr>
  </w:style>
  <w:style w:type="paragraph" w:styleId="22">
    <w:name w:val="List 3"/>
    <w:basedOn w:val="1"/>
    <w:unhideWhenUsed/>
    <w:uiPriority w:val="99"/>
    <w:pPr>
      <w:ind w:left="1080" w:hanging="360"/>
      <w:contextualSpacing/>
    </w:pPr>
  </w:style>
  <w:style w:type="paragraph" w:styleId="23">
    <w:name w:val="List Bullet"/>
    <w:basedOn w:val="1"/>
    <w:unhideWhenUsed/>
    <w:uiPriority w:val="99"/>
    <w:pPr>
      <w:numPr>
        <w:ilvl w:val="0"/>
        <w:numId w:val="1"/>
      </w:numPr>
      <w:contextualSpacing/>
    </w:pPr>
  </w:style>
  <w:style w:type="paragraph" w:styleId="24">
    <w:name w:val="List Bullet 2"/>
    <w:basedOn w:val="1"/>
    <w:unhideWhenUsed/>
    <w:uiPriority w:val="99"/>
    <w:pPr>
      <w:numPr>
        <w:ilvl w:val="0"/>
        <w:numId w:val="2"/>
      </w:numPr>
      <w:contextualSpacing/>
    </w:pPr>
  </w:style>
  <w:style w:type="paragraph" w:styleId="25">
    <w:name w:val="List Bullet 3"/>
    <w:basedOn w:val="1"/>
    <w:unhideWhenUsed/>
    <w:uiPriority w:val="99"/>
    <w:pPr>
      <w:numPr>
        <w:ilvl w:val="0"/>
        <w:numId w:val="3"/>
      </w:numPr>
      <w:contextualSpacing/>
    </w:pPr>
  </w:style>
  <w:style w:type="paragraph" w:styleId="26">
    <w:name w:val="List Continue"/>
    <w:basedOn w:val="1"/>
    <w:unhideWhenUsed/>
    <w:uiPriority w:val="99"/>
    <w:pPr>
      <w:spacing w:after="120"/>
      <w:ind w:left="360"/>
      <w:contextualSpacing/>
    </w:pPr>
  </w:style>
  <w:style w:type="paragraph" w:styleId="27">
    <w:name w:val="List Continue 2"/>
    <w:basedOn w:val="1"/>
    <w:unhideWhenUsed/>
    <w:uiPriority w:val="99"/>
    <w:pPr>
      <w:spacing w:after="120"/>
      <w:ind w:left="720"/>
      <w:contextualSpacing/>
    </w:pPr>
  </w:style>
  <w:style w:type="paragraph" w:styleId="28">
    <w:name w:val="List Continue 3"/>
    <w:basedOn w:val="1"/>
    <w:unhideWhenUsed/>
    <w:uiPriority w:val="99"/>
    <w:pPr>
      <w:spacing w:after="120"/>
      <w:ind w:left="1080"/>
      <w:contextualSpacing/>
    </w:pPr>
  </w:style>
  <w:style w:type="paragraph" w:styleId="29">
    <w:name w:val="List Number"/>
    <w:basedOn w:val="1"/>
    <w:unhideWhenUsed/>
    <w:uiPriority w:val="99"/>
    <w:pPr>
      <w:numPr>
        <w:ilvl w:val="0"/>
        <w:numId w:val="4"/>
      </w:numPr>
      <w:contextualSpacing/>
    </w:pPr>
  </w:style>
  <w:style w:type="paragraph" w:styleId="30">
    <w:name w:val="List Number 2"/>
    <w:basedOn w:val="1"/>
    <w:unhideWhenUsed/>
    <w:uiPriority w:val="99"/>
    <w:pPr>
      <w:numPr>
        <w:ilvl w:val="0"/>
        <w:numId w:val="5"/>
      </w:numPr>
      <w:contextualSpacing/>
    </w:pPr>
  </w:style>
  <w:style w:type="paragraph" w:styleId="31">
    <w:name w:val="List Number 3"/>
    <w:basedOn w:val="1"/>
    <w:unhideWhenUsed/>
    <w:uiPriority w:val="99"/>
    <w:pPr>
      <w:numPr>
        <w:ilvl w:val="0"/>
        <w:numId w:val="6"/>
      </w:numPr>
      <w:contextualSpacing/>
    </w:pPr>
  </w:style>
  <w:style w:type="paragraph" w:styleId="32">
    <w:name w:val="macro"/>
    <w:link w:val="148"/>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33">
    <w:name w:val="Normal (Web)"/>
    <w:basedOn w:val="1"/>
    <w:semiHidden/>
    <w:unhideWhenUsed/>
    <w:uiPriority w:val="99"/>
    <w:pPr>
      <w:spacing w:before="100" w:beforeAutospacing="1" w:afterAutospacing="1" w:line="240" w:lineRule="auto"/>
    </w:pPr>
    <w:rPr>
      <w:rFonts w:ascii="Times New Roman" w:hAnsi="Times New Roman" w:eastAsia="Times New Roman" w:cs="Times New Roman"/>
      <w:sz w:val="24"/>
      <w:szCs w:val="24"/>
      <w:lang w:bidi="ne-NP"/>
    </w:rPr>
  </w:style>
  <w:style w:type="character" w:styleId="34">
    <w:name w:val="Strong"/>
    <w:basedOn w:val="11"/>
    <w:qFormat/>
    <w:uiPriority w:val="22"/>
    <w:rPr>
      <w:b/>
      <w:bCs/>
    </w:rPr>
  </w:style>
  <w:style w:type="paragraph" w:styleId="35">
    <w:name w:val="Subtitle"/>
    <w:basedOn w:val="1"/>
    <w:next w:val="1"/>
    <w:link w:val="143"/>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table" w:styleId="36">
    <w:name w:val="Table Grid"/>
    <w:basedOn w:val="1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37">
    <w:name w:val="Title"/>
    <w:basedOn w:val="1"/>
    <w:next w:val="1"/>
    <w:link w:val="142"/>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8">
    <w:name w:val="Light Shading"/>
    <w:basedOn w:val="1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9">
    <w:name w:val="Light Shading Accent 1"/>
    <w:basedOn w:val="1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40">
    <w:name w:val="Light Shading Accent 2"/>
    <w:basedOn w:val="1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1">
    <w:name w:val="Light Shading Accent 3"/>
    <w:basedOn w:val="1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2">
    <w:name w:val="Light Shading Accent 4"/>
    <w:basedOn w:val="1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3">
    <w:name w:val="Light Shading Accent 5"/>
    <w:basedOn w:val="1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4">
    <w:name w:val="Light Shading Accent 6"/>
    <w:basedOn w:val="1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5">
    <w:name w:val="Light List"/>
    <w:basedOn w:val="1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6">
    <w:name w:val="Light List Accent 1"/>
    <w:basedOn w:val="1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7">
    <w:name w:val="Light List Accent 2"/>
    <w:basedOn w:val="1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8">
    <w:name w:val="Light List Accent 3"/>
    <w:basedOn w:val="1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9">
    <w:name w:val="Light List Accent 4"/>
    <w:basedOn w:val="1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50">
    <w:name w:val="Light List Accent 5"/>
    <w:basedOn w:val="1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1">
    <w:name w:val="Light List Accent 6"/>
    <w:basedOn w:val="1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2">
    <w:name w:val="Light Grid"/>
    <w:basedOn w:val="1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3">
    <w:name w:val="Light Grid Accent 1"/>
    <w:basedOn w:val="1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4">
    <w:name w:val="Light Grid Accent 2"/>
    <w:basedOn w:val="1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5">
    <w:name w:val="Light Grid Accent 3"/>
    <w:basedOn w:val="1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6">
    <w:name w:val="Light Grid Accent 4"/>
    <w:basedOn w:val="1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7">
    <w:name w:val="Light Grid Accent 5"/>
    <w:basedOn w:val="1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8">
    <w:name w:val="Light Grid Accent 6"/>
    <w:basedOn w:val="1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9">
    <w:name w:val="Medium Shading 1"/>
    <w:basedOn w:val="1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60">
    <w:name w:val="Medium Shading 1 Accent 1"/>
    <w:basedOn w:val="1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1">
    <w:name w:val="Medium Shading 1 Accent 2"/>
    <w:basedOn w:val="1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2">
    <w:name w:val="Medium Shading 1 Accent 3"/>
    <w:basedOn w:val="1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3">
    <w:name w:val="Medium Shading 1 Accent 4"/>
    <w:basedOn w:val="1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4">
    <w:name w:val="Medium Shading 1 Accent 5"/>
    <w:basedOn w:val="1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5">
    <w:name w:val="Medium Shading 1 Accent 6"/>
    <w:basedOn w:val="1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6">
    <w:name w:val="Medium Shading 2"/>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1"/>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2"/>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3"/>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4"/>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5"/>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Shading 2 Accent 6"/>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3">
    <w:name w:val="Medium List 1"/>
    <w:basedOn w:val="1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4">
    <w:name w:val="Medium List 1 Accent 1"/>
    <w:basedOn w:val="1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5">
    <w:name w:val="Medium List 1 Accent 2"/>
    <w:basedOn w:val="1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6">
    <w:name w:val="Medium List 1 Accent 3"/>
    <w:basedOn w:val="1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7">
    <w:name w:val="Medium List 1 Accent 4"/>
    <w:basedOn w:val="1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8">
    <w:name w:val="Medium List 1 Accent 5"/>
    <w:basedOn w:val="1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9">
    <w:name w:val="Medium List 1 Accent 6"/>
    <w:basedOn w:val="1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80">
    <w:name w:val="Medium Lis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1"/>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3"/>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4"/>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5"/>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List 2 Accent 6"/>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7">
    <w:name w:val="Medium Grid 1"/>
    <w:basedOn w:val="1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8">
    <w:name w:val="Medium Grid 1 Accent 1"/>
    <w:basedOn w:val="1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9">
    <w:name w:val="Medium Grid 1 Accent 2"/>
    <w:basedOn w:val="1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90">
    <w:name w:val="Medium Grid 1 Accent 3"/>
    <w:basedOn w:val="1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1">
    <w:name w:val="Medium Grid 1 Accent 4"/>
    <w:basedOn w:val="1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2">
    <w:name w:val="Medium Grid 1 Accent 5"/>
    <w:basedOn w:val="1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3">
    <w:name w:val="Medium Grid 1 Accent 6"/>
    <w:basedOn w:val="1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4">
    <w:name w:val="Medium Grid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5">
    <w:name w:val="Medium Grid 2 Accent 1"/>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6">
    <w:name w:val="Medium Grid 2 Accent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7">
    <w:name w:val="Medium Grid 2 Accent 3"/>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8">
    <w:name w:val="Medium Grid 2 Accent 4"/>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9">
    <w:name w:val="Medium Grid 2 Accent 5"/>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100">
    <w:name w:val="Medium Grid 2 Accent 6"/>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1">
    <w:name w:val="Medium Grid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2">
    <w:name w:val="Medium Grid 3 Accent 1"/>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3">
    <w:name w:val="Medium Grid 3 Accent 2"/>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4">
    <w:name w:val="Medium Grid 3 Accent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5">
    <w:name w:val="Medium Grid 3 Accent 4"/>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6">
    <w:name w:val="Medium Grid 3 Accent 5"/>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7">
    <w:name w:val="Medium Grid 3 Accent 6"/>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8">
    <w:name w:val="Dark List"/>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9">
    <w:name w:val="Dark List Accent 1"/>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10">
    <w:name w:val="Dark List Accent 2"/>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1">
    <w:name w:val="Dark List Accent 3"/>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2">
    <w:name w:val="Dark List Accent 4"/>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3">
    <w:name w:val="Dark List Accent 5"/>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4">
    <w:name w:val="Dark List Accent 6"/>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5">
    <w:name w:val="Colorful Shading"/>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1"/>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2"/>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3"/>
    <w:basedOn w:val="1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9">
    <w:name w:val="Colorful Shading Accent 4"/>
    <w:basedOn w:val="1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5"/>
    <w:basedOn w:val="1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Shading Accent 6"/>
    <w:basedOn w:val="1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2">
    <w:name w:val="Colorful List"/>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3">
    <w:name w:val="Colorful List Accent 1"/>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4">
    <w:name w:val="Colorful List Accent 2"/>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5">
    <w:name w:val="Colorful List Accent 3"/>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6">
    <w:name w:val="Colorful List Accent 4"/>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7">
    <w:name w:val="Colorful List Accent 5"/>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8">
    <w:name w:val="Colorful List Accent 6"/>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9">
    <w:name w:val="Colorful Grid"/>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30">
    <w:name w:val="Colorful Grid Accent 1"/>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1">
    <w:name w:val="Colorful Grid Accent 2"/>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2">
    <w:name w:val="Colorful Grid Accent 3"/>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3">
    <w:name w:val="Colorful Grid Accent 4"/>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4">
    <w:name w:val="Colorful Grid Accent 5"/>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5">
    <w:name w:val="Colorful Grid Accent 6"/>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136">
    <w:name w:val="Header Char"/>
    <w:basedOn w:val="11"/>
    <w:link w:val="19"/>
    <w:uiPriority w:val="99"/>
  </w:style>
  <w:style w:type="character" w:customStyle="1" w:styleId="137">
    <w:name w:val="Footer Char"/>
    <w:basedOn w:val="11"/>
    <w:link w:val="18"/>
    <w:uiPriority w:val="99"/>
  </w:style>
  <w:style w:type="paragraph" w:styleId="138">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9">
    <w:name w:val="Heading 1 Char"/>
    <w:basedOn w:val="11"/>
    <w:link w:val="2"/>
    <w:uiPriority w:val="9"/>
    <w:rPr>
      <w:rFonts w:asciiTheme="majorHAnsi" w:hAnsiTheme="majorHAnsi" w:eastAsiaTheme="majorEastAsia" w:cstheme="majorBidi"/>
      <w:b/>
      <w:bCs/>
      <w:color w:val="376092" w:themeColor="accent1" w:themeShade="BF"/>
      <w:sz w:val="28"/>
      <w:szCs w:val="28"/>
    </w:rPr>
  </w:style>
  <w:style w:type="character" w:customStyle="1" w:styleId="140">
    <w:name w:val="Heading 2 Char"/>
    <w:basedOn w:val="11"/>
    <w:link w:val="3"/>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1">
    <w:name w:val="Heading 3 Char"/>
    <w:basedOn w:val="11"/>
    <w:link w:val="4"/>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2">
    <w:name w:val="Title Char"/>
    <w:basedOn w:val="11"/>
    <w:link w:val="37"/>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3">
    <w:name w:val="Subtitle Char"/>
    <w:basedOn w:val="11"/>
    <w:link w:val="35"/>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4">
    <w:name w:val="List Paragraph"/>
    <w:basedOn w:val="1"/>
    <w:qFormat/>
    <w:uiPriority w:val="34"/>
    <w:pPr>
      <w:ind w:left="720"/>
      <w:contextualSpacing/>
    </w:pPr>
  </w:style>
  <w:style w:type="character" w:customStyle="1" w:styleId="145">
    <w:name w:val="Body Text Char"/>
    <w:basedOn w:val="11"/>
    <w:link w:val="13"/>
    <w:uiPriority w:val="99"/>
  </w:style>
  <w:style w:type="character" w:customStyle="1" w:styleId="146">
    <w:name w:val="Body Text 2 Char"/>
    <w:basedOn w:val="11"/>
    <w:link w:val="14"/>
    <w:uiPriority w:val="99"/>
  </w:style>
  <w:style w:type="character" w:customStyle="1" w:styleId="147">
    <w:name w:val="Body Text 3 Char"/>
    <w:basedOn w:val="11"/>
    <w:link w:val="15"/>
    <w:uiPriority w:val="99"/>
    <w:rPr>
      <w:sz w:val="16"/>
      <w:szCs w:val="16"/>
    </w:rPr>
  </w:style>
  <w:style w:type="character" w:customStyle="1" w:styleId="148">
    <w:name w:val="Macro Text Char"/>
    <w:basedOn w:val="11"/>
    <w:link w:val="32"/>
    <w:uiPriority w:val="99"/>
    <w:rPr>
      <w:rFonts w:ascii="Courier" w:hAnsi="Courier"/>
      <w:sz w:val="20"/>
      <w:szCs w:val="20"/>
    </w:rPr>
  </w:style>
  <w:style w:type="paragraph" w:styleId="149">
    <w:name w:val="Quote"/>
    <w:basedOn w:val="1"/>
    <w:next w:val="1"/>
    <w:link w:val="150"/>
    <w:qFormat/>
    <w:uiPriority w:val="29"/>
    <w:rPr>
      <w:i/>
      <w:iCs/>
      <w:color w:val="000000" w:themeColor="text1"/>
      <w14:textFill>
        <w14:solidFill>
          <w14:schemeClr w14:val="tx1"/>
        </w14:solidFill>
      </w14:textFill>
    </w:rPr>
  </w:style>
  <w:style w:type="character" w:customStyle="1" w:styleId="150">
    <w:name w:val="Quote Char"/>
    <w:basedOn w:val="11"/>
    <w:link w:val="149"/>
    <w:uiPriority w:val="29"/>
    <w:rPr>
      <w:i/>
      <w:iCs/>
      <w:color w:val="000000" w:themeColor="text1"/>
      <w14:textFill>
        <w14:solidFill>
          <w14:schemeClr w14:val="tx1"/>
        </w14:solidFill>
      </w14:textFill>
    </w:rPr>
  </w:style>
  <w:style w:type="character" w:customStyle="1" w:styleId="151">
    <w:name w:val="Heading 4 Char"/>
    <w:basedOn w:val="11"/>
    <w:link w:val="5"/>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2">
    <w:name w:val="Heading 5 Char"/>
    <w:basedOn w:val="11"/>
    <w:link w:val="6"/>
    <w:semiHidden/>
    <w:uiPriority w:val="9"/>
    <w:rPr>
      <w:rFonts w:asciiTheme="majorHAnsi" w:hAnsiTheme="majorHAnsi" w:eastAsiaTheme="majorEastAsia" w:cstheme="majorBidi"/>
      <w:color w:val="254061" w:themeColor="accent1" w:themeShade="80"/>
    </w:rPr>
  </w:style>
  <w:style w:type="character" w:customStyle="1" w:styleId="153">
    <w:name w:val="Heading 6 Char"/>
    <w:basedOn w:val="11"/>
    <w:link w:val="7"/>
    <w:semiHidden/>
    <w:uiPriority w:val="9"/>
    <w:rPr>
      <w:rFonts w:asciiTheme="majorHAnsi" w:hAnsiTheme="majorHAnsi" w:eastAsiaTheme="majorEastAsia" w:cstheme="majorBidi"/>
      <w:i/>
      <w:iCs/>
      <w:color w:val="254061" w:themeColor="accent1" w:themeShade="80"/>
    </w:rPr>
  </w:style>
  <w:style w:type="character" w:customStyle="1" w:styleId="154">
    <w:name w:val="Heading 7 Char"/>
    <w:basedOn w:val="11"/>
    <w:link w:val="8"/>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5">
    <w:name w:val="Heading 8 Char"/>
    <w:basedOn w:val="11"/>
    <w:link w:val="9"/>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6">
    <w:name w:val="Heading 9 Char"/>
    <w:basedOn w:val="11"/>
    <w:link w:val="10"/>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7">
    <w:name w:val="Intense Quote"/>
    <w:basedOn w:val="1"/>
    <w:next w:val="1"/>
    <w:link w:val="158"/>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8">
    <w:name w:val="Intense Quote Char"/>
    <w:basedOn w:val="11"/>
    <w:link w:val="157"/>
    <w:uiPriority w:val="30"/>
    <w:rPr>
      <w:b/>
      <w:bCs/>
      <w:i/>
      <w:iCs/>
      <w:color w:val="4F81BD" w:themeColor="accent1"/>
      <w14:textFill>
        <w14:solidFill>
          <w14:schemeClr w14:val="accent1"/>
        </w14:solidFill>
      </w14:textFill>
    </w:rPr>
  </w:style>
  <w:style w:type="character" w:customStyle="1" w:styleId="159">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160">
    <w:name w:val="Intense Emphasis"/>
    <w:basedOn w:val="11"/>
    <w:qFormat/>
    <w:uiPriority w:val="21"/>
    <w:rPr>
      <w:b/>
      <w:bCs/>
      <w:i/>
      <w:iCs/>
      <w:color w:val="4F81BD" w:themeColor="accent1"/>
      <w14:textFill>
        <w14:solidFill>
          <w14:schemeClr w14:val="accent1"/>
        </w14:solidFill>
      </w14:textFill>
    </w:rPr>
  </w:style>
  <w:style w:type="character" w:customStyle="1" w:styleId="161">
    <w:name w:val="Subtle Reference"/>
    <w:basedOn w:val="11"/>
    <w:qFormat/>
    <w:uiPriority w:val="31"/>
    <w:rPr>
      <w:smallCaps/>
      <w:color w:val="C0504D" w:themeColor="accent2"/>
      <w:u w:val="single"/>
      <w14:textFill>
        <w14:solidFill>
          <w14:schemeClr w14:val="accent2"/>
        </w14:solidFill>
      </w14:textFill>
    </w:rPr>
  </w:style>
  <w:style w:type="character" w:customStyle="1" w:styleId="162">
    <w:name w:val="Intense Reference"/>
    <w:basedOn w:val="11"/>
    <w:qFormat/>
    <w:uiPriority w:val="32"/>
    <w:rPr>
      <w:b/>
      <w:bCs/>
      <w:smallCaps/>
      <w:color w:val="C0504D" w:themeColor="accent2"/>
      <w:spacing w:val="5"/>
      <w:u w:val="single"/>
      <w14:textFill>
        <w14:solidFill>
          <w14:schemeClr w14:val="accent2"/>
        </w14:solidFill>
      </w14:textFill>
    </w:rPr>
  </w:style>
  <w:style w:type="character" w:customStyle="1" w:styleId="163">
    <w:name w:val="Book Title"/>
    <w:basedOn w:val="11"/>
    <w:qFormat/>
    <w:uiPriority w:val="33"/>
    <w:rPr>
      <w:b/>
      <w:bCs/>
      <w:smallCaps/>
      <w:spacing w:val="5"/>
    </w:rPr>
  </w:style>
  <w:style w:type="paragraph" w:customStyle="1" w:styleId="164">
    <w:name w:val="TOC Heading"/>
    <w:basedOn w:val="2"/>
    <w:next w:val="1"/>
    <w:semiHidden/>
    <w:unhideWhenUsed/>
    <w:qFormat/>
    <w:uiPriority w:val="39"/>
    <w:pPr>
      <w:outlineLvl w:val="9"/>
    </w:pPr>
  </w:style>
  <w:style w:type="paragraph" w:customStyle="1" w:styleId="165">
    <w:name w:val="isselectedend"/>
    <w:basedOn w:val="1"/>
    <w:uiPriority w:val="0"/>
    <w:pPr>
      <w:spacing w:before="100" w:beforeAutospacing="1" w:afterAutospacing="1" w:line="240" w:lineRule="auto"/>
    </w:pPr>
    <w:rPr>
      <w:rFonts w:ascii="Times New Roman" w:hAnsi="Times New Roman" w:eastAsia="Times New Roman" w:cs="Times New Roman"/>
      <w:sz w:val="24"/>
      <w:szCs w:val="24"/>
      <w:lang w:bidi="ne-NP"/>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6" Type="http://schemas.openxmlformats.org/officeDocument/2006/relationships/fontTable" Target="fontTable.xml"/><Relationship Id="rId25" Type="http://schemas.openxmlformats.org/officeDocument/2006/relationships/numbering" Target="numbering.xml"/><Relationship Id="rId24" Type="http://schemas.openxmlformats.org/officeDocument/2006/relationships/image" Target="media/image17.jpeg"/><Relationship Id="rId23" Type="http://schemas.openxmlformats.org/officeDocument/2006/relationships/image" Target="media/image16.jpeg"/><Relationship Id="rId22" Type="http://schemas.openxmlformats.org/officeDocument/2006/relationships/image" Target="media/image15.jpeg"/><Relationship Id="rId21" Type="http://schemas.openxmlformats.org/officeDocument/2006/relationships/image" Target="media/image14.jpeg"/><Relationship Id="rId20" Type="http://schemas.openxmlformats.org/officeDocument/2006/relationships/image" Target="media/image13.jpeg"/><Relationship Id="rId2" Type="http://schemas.openxmlformats.org/officeDocument/2006/relationships/settings" Target="settings.xml"/><Relationship Id="rId19" Type="http://schemas.openxmlformats.org/officeDocument/2006/relationships/image" Target="media/image12.jpeg"/><Relationship Id="rId18" Type="http://schemas.openxmlformats.org/officeDocument/2006/relationships/image" Target="media/image11.jpeg"/><Relationship Id="rId17" Type="http://schemas.openxmlformats.org/officeDocument/2006/relationships/image" Target="media/image10.jpeg"/><Relationship Id="rId16" Type="http://schemas.openxmlformats.org/officeDocument/2006/relationships/image" Target="media/image9.jpeg"/><Relationship Id="rId15" Type="http://schemas.openxmlformats.org/officeDocument/2006/relationships/image" Target="media/image8.jpeg"/><Relationship Id="rId14" Type="http://schemas.openxmlformats.org/officeDocument/2006/relationships/image" Target="media/image7.jpeg"/><Relationship Id="rId13" Type="http://schemas.openxmlformats.org/officeDocument/2006/relationships/image" Target="media/image6.jpeg"/><Relationship Id="rId12" Type="http://schemas.openxmlformats.org/officeDocument/2006/relationships/image" Target="media/image5.jpeg"/><Relationship Id="rId11" Type="http://schemas.openxmlformats.org/officeDocument/2006/relationships/image" Target="media/image4.jpeg"/><Relationship Id="rId10" Type="http://schemas.openxmlformats.org/officeDocument/2006/relationships/image" Target="media/image3.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Template>
  <Pages>10</Pages>
  <Words>1960</Words>
  <Characters>11177</Characters>
  <Lines>93</Lines>
  <Paragraphs>26</Paragraphs>
  <TotalTime>25</TotalTime>
  <ScaleCrop>false</ScaleCrop>
  <LinksUpToDate>false</LinksUpToDate>
  <CharactersWithSpaces>13111</CharactersWithSpaces>
  <Application>WPS Office_6.10.2.8397_F1E327BC-269C-435d-A152-05C5408002CA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2026-09-18T08:26:00Z</dcterms:created>
  <dc:creator>python-docx</dc:creator>
  <dc:description>generated by python-docx</dc:description>
  <cp:lastModifiedBy>surya Thapa</cp:lastModifiedBy>
  <dcterms:modified xsi:type="dcterms:W3CDTF">2026-09-22T13:20:09Z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1033-6.10.2.8397</vt:lpwstr>
  </property>
  <property fmtid="{D5CDD505-2E9C-101B-9397-08002B2CF9AE}" pid="3" name="ICV">
    <vt:lpwstr>C3B58190288DC4B2EC2EB26A386392AF_42</vt:lpwstr>
  </property>
</Properties>
</file>